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91" w:rsidRPr="00DE48DF" w:rsidRDefault="00B34091" w:rsidP="00132F66">
      <w:pPr>
        <w:widowControl w:val="0"/>
        <w:spacing w:line="360" w:lineRule="auto"/>
        <w:jc w:val="both"/>
        <w:rPr>
          <w:rFonts w:ascii="Palatino Linotype" w:eastAsia="Calibri" w:hAnsi="Palatino Linotype" w:cs="Arial"/>
          <w:b/>
          <w:color w:val="000000"/>
        </w:rPr>
      </w:pP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VIGÉSIMA </w:t>
      </w:r>
      <w:r w:rsidR="00307678">
        <w:rPr>
          <w:rFonts w:ascii="Palatino Linotype" w:hAnsi="Palatino Linotype" w:cs="Arial"/>
          <w:b/>
        </w:rPr>
        <w:t xml:space="preserve">SÉPTIMA </w:t>
      </w:r>
      <w:r>
        <w:rPr>
          <w:rFonts w:ascii="Palatino Linotype" w:hAnsi="Palatino Linotype" w:cs="Arial"/>
          <w:b/>
        </w:rPr>
        <w:t xml:space="preserve">SESIÓN </w:t>
      </w:r>
      <w:r w:rsidRPr="00DE48DF">
        <w:rPr>
          <w:rFonts w:ascii="Palatino Linotype" w:hAnsi="Palatino Linotype" w:cs="Arial"/>
          <w:b/>
        </w:rPr>
        <w:t xml:space="preserve">ORDINARIA DEL </w:t>
      </w:r>
      <w:r w:rsidR="00307678">
        <w:rPr>
          <w:rFonts w:ascii="Palatino Linotype" w:hAnsi="Palatino Linotype" w:cs="Arial"/>
          <w:b/>
        </w:rPr>
        <w:t>UNO DE AGOSTO</w:t>
      </w:r>
      <w:r>
        <w:rPr>
          <w:rFonts w:ascii="Palatino Linotype" w:hAnsi="Palatino Linotype" w:cs="Arial"/>
          <w:b/>
        </w:rPr>
        <w:t xml:space="preserve"> DE DOS MIL DIECIOCHO,</w:t>
      </w:r>
      <w:r w:rsidRPr="00DE48DF">
        <w:rPr>
          <w:rFonts w:ascii="Palatino Linotype" w:hAnsi="Palatino Linotype" w:cs="Arial"/>
          <w:b/>
        </w:rPr>
        <w:t xml:space="preserve"> EN EL RECURSO DE REVISIÓN </w:t>
      </w:r>
      <w:r w:rsidR="00307678" w:rsidRPr="00307678">
        <w:rPr>
          <w:rFonts w:ascii="Palatino Linotype" w:hAnsi="Palatino Linotype" w:cs="Arial"/>
          <w:b/>
        </w:rPr>
        <w:t>01840/INFOEM/IP/RR/2018</w:t>
      </w:r>
      <w:r w:rsidRPr="00DE48DF">
        <w:rPr>
          <w:rFonts w:ascii="Palatino Linotype" w:eastAsia="Calibri" w:hAnsi="Palatino Linotype" w:cs="Arial"/>
          <w:b/>
          <w:color w:val="000000"/>
        </w:rPr>
        <w:t>.</w:t>
      </w:r>
    </w:p>
    <w:p w:rsidR="00B34091" w:rsidRDefault="00B34091" w:rsidP="00132F66">
      <w:pPr>
        <w:widowControl w:val="0"/>
        <w:spacing w:line="360" w:lineRule="auto"/>
        <w:jc w:val="both"/>
        <w:rPr>
          <w:rFonts w:ascii="Palatino Linotype" w:hAnsi="Palatino Linotype" w:cs="Arial"/>
          <w:b/>
        </w:rPr>
      </w:pPr>
    </w:p>
    <w:p w:rsidR="00B34091" w:rsidRPr="00DE48DF" w:rsidRDefault="00B34091" w:rsidP="00132F66">
      <w:pPr>
        <w:spacing w:line="360" w:lineRule="auto"/>
        <w:jc w:val="both"/>
        <w:rPr>
          <w:rFonts w:ascii="Palatino Linotype" w:hAnsi="Palatino Linotype" w:cs="Arial"/>
        </w:rPr>
      </w:pPr>
      <w:r w:rsidRPr="00DE48DF">
        <w:rPr>
          <w:rFonts w:ascii="Palatino Linotype" w:hAnsi="Palatino Linotype" w:cs="Arial"/>
        </w:rPr>
        <w:t>Con fundamento en lo dispuesto por el artí</w:t>
      </w:r>
      <w:r>
        <w:rPr>
          <w:rFonts w:ascii="Palatino Linotype" w:hAnsi="Palatino Linotype" w:cs="Arial"/>
        </w:rPr>
        <w:t>culo 14, fracciones X y XI del R</w:t>
      </w:r>
      <w:r w:rsidRPr="00DE48DF">
        <w:rPr>
          <w:rFonts w:ascii="Palatino Linotype" w:hAnsi="Palatino Linotype" w:cs="Arial"/>
        </w:rPr>
        <w:t>eglamento Interior del Instituto de Transparencia, Acceso a la Información Pública y Protección de Datos Personales del Estado de México y Municipios, la que suscribe</w:t>
      </w:r>
      <w:r w:rsidRPr="00DE48DF">
        <w:rPr>
          <w:rFonts w:ascii="Palatino Linotype" w:hAnsi="Palatino Linotype" w:cs="Arial"/>
          <w:b/>
          <w:lang w:val="es-ES_tradnl"/>
        </w:rPr>
        <w:t xml:space="preserve"> </w:t>
      </w:r>
      <w:r w:rsidRPr="00DE48DF">
        <w:rPr>
          <w:rFonts w:ascii="Palatino Linotype" w:hAnsi="Palatino Linotype" w:cs="Arial"/>
          <w:b/>
        </w:rPr>
        <w:t xml:space="preserve">EVA ABAID YAPUR </w:t>
      </w:r>
      <w:r w:rsidRPr="00DE48DF">
        <w:rPr>
          <w:rFonts w:ascii="Palatino Linotype" w:hAnsi="Palatino Linotype" w:cs="Arial"/>
        </w:rPr>
        <w:t xml:space="preserve">emite </w:t>
      </w: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w:t>
      </w:r>
      <w:r w:rsidRPr="00DE48DF">
        <w:rPr>
          <w:rFonts w:ascii="Palatino Linotype" w:hAnsi="Palatino Linotype" w:cs="Arial"/>
        </w:rPr>
        <w:t xml:space="preserve">respecto de la resolución dictada en el recurso de revisión </w:t>
      </w:r>
      <w:r w:rsidR="00307678" w:rsidRPr="00307678">
        <w:rPr>
          <w:rFonts w:ascii="Palatino Linotype" w:eastAsia="Calibri" w:hAnsi="Palatino Linotype" w:cs="Arial"/>
          <w:b/>
          <w:color w:val="000000"/>
        </w:rPr>
        <w:t>01840/INFOEM/IP/RR/2018</w:t>
      </w:r>
      <w:r w:rsidRPr="00DE48DF">
        <w:rPr>
          <w:rFonts w:ascii="Palatino Linotype" w:hAnsi="Palatino Linotype" w:cs="Arial"/>
        </w:rPr>
        <w:t xml:space="preserve">, pronunciada por el Pleno de este Instituto ante el proyecto presentado por </w:t>
      </w:r>
      <w:r>
        <w:rPr>
          <w:rFonts w:ascii="Palatino Linotype" w:hAnsi="Palatino Linotype" w:cs="Arial"/>
        </w:rPr>
        <w:t>la</w:t>
      </w:r>
      <w:r w:rsidRPr="00DE48DF">
        <w:rPr>
          <w:rFonts w:ascii="Palatino Linotype" w:hAnsi="Palatino Linotype" w:cs="Arial"/>
        </w:rPr>
        <w:t xml:space="preserve"> Comisionad</w:t>
      </w:r>
      <w:r>
        <w:rPr>
          <w:rFonts w:ascii="Palatino Linotype" w:hAnsi="Palatino Linotype" w:cs="Arial"/>
        </w:rPr>
        <w:t>a Presidenta</w:t>
      </w:r>
      <w:r w:rsidRPr="00DE48DF">
        <w:rPr>
          <w:rFonts w:ascii="Palatino Linotype" w:hAnsi="Palatino Linotype" w:cs="Arial"/>
        </w:rPr>
        <w:t xml:space="preserve"> </w:t>
      </w:r>
      <w:r>
        <w:rPr>
          <w:rFonts w:ascii="Palatino Linotype" w:hAnsi="Palatino Linotype" w:cs="Arial"/>
          <w:b/>
        </w:rPr>
        <w:t>ZULEMA MARTÍNEZ SÁNCHEZ</w:t>
      </w:r>
      <w:r w:rsidRPr="00DE48DF">
        <w:rPr>
          <w:rFonts w:ascii="Palatino Linotype" w:hAnsi="Palatino Linotype" w:cs="Arial"/>
        </w:rPr>
        <w:t>, que es del tenor siguiente.</w:t>
      </w:r>
    </w:p>
    <w:p w:rsidR="006A1F35" w:rsidRPr="009D3429" w:rsidRDefault="006A1F35" w:rsidP="00132F66">
      <w:pPr>
        <w:spacing w:line="360" w:lineRule="auto"/>
        <w:jc w:val="both"/>
        <w:rPr>
          <w:rFonts w:ascii="Palatino Linotype" w:hAnsi="Palatino Linotype" w:cs="Arial"/>
        </w:rPr>
      </w:pPr>
    </w:p>
    <w:p w:rsidR="00AC0EBE" w:rsidRPr="009D3429" w:rsidRDefault="00B2492D" w:rsidP="00132F66">
      <w:pPr>
        <w:spacing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sidR="00B74B12">
        <w:rPr>
          <w:rFonts w:ascii="Palatino Linotype" w:hAnsi="Palatino Linotype"/>
        </w:rPr>
        <w:t>o</w:t>
      </w:r>
      <w:r w:rsidRPr="009D3429">
        <w:rPr>
          <w:rFonts w:ascii="Palatino Linotype" w:hAnsi="Palatino Linotype"/>
        </w:rPr>
        <w:t xml:space="preserve"> necesario precisar algunas consideraciones de hecho y de derecho, </w:t>
      </w:r>
      <w:r w:rsidR="00B71A4B">
        <w:rPr>
          <w:rFonts w:ascii="Palatino Linotype" w:hAnsi="Palatino Linotype"/>
        </w:rPr>
        <w:t>tocante al</w:t>
      </w:r>
      <w:r w:rsidRPr="009D3429">
        <w:rPr>
          <w:rFonts w:ascii="Palatino Linotype" w:hAnsi="Palatino Linotype"/>
        </w:rPr>
        <w:t xml:space="preserve"> sentido de la resolución correspondiente.</w:t>
      </w:r>
    </w:p>
    <w:p w:rsidR="00AC0EBE" w:rsidRPr="009D3429" w:rsidRDefault="00AC0EBE" w:rsidP="00132F66">
      <w:pPr>
        <w:spacing w:line="360" w:lineRule="auto"/>
        <w:jc w:val="both"/>
        <w:rPr>
          <w:rFonts w:ascii="Palatino Linotype" w:hAnsi="Palatino Linotype"/>
        </w:rPr>
      </w:pPr>
    </w:p>
    <w:p w:rsidR="00307678" w:rsidRDefault="00B2492D" w:rsidP="00132F66">
      <w:pPr>
        <w:spacing w:line="360" w:lineRule="auto"/>
        <w:jc w:val="both"/>
        <w:rPr>
          <w:rFonts w:ascii="Palatino Linotype" w:hAnsi="Palatino Linotype"/>
        </w:rPr>
      </w:pPr>
      <w:r w:rsidRPr="009D3429">
        <w:rPr>
          <w:rFonts w:ascii="Palatino Linotype" w:hAnsi="Palatino Linotype"/>
        </w:rPr>
        <w:t xml:space="preserve">Al respecto, tal y como quedó debidamente asentado en la resolución materia del presente voto, </w:t>
      </w:r>
      <w:r w:rsidR="00EF3D33">
        <w:rPr>
          <w:rFonts w:ascii="Palatino Linotype" w:hAnsi="Palatino Linotype"/>
        </w:rPr>
        <w:t>el</w:t>
      </w:r>
      <w:r w:rsidRPr="009D3429">
        <w:rPr>
          <w:rFonts w:ascii="Palatino Linotype" w:hAnsi="Palatino Linotype"/>
        </w:rPr>
        <w:t xml:space="preserve"> particular requirió de</w:t>
      </w:r>
      <w:r w:rsidR="00307678">
        <w:rPr>
          <w:rFonts w:ascii="Palatino Linotype" w:hAnsi="Palatino Linotype"/>
        </w:rPr>
        <w:t xml:space="preserve"> </w:t>
      </w:r>
      <w:r w:rsidRPr="009D3429">
        <w:rPr>
          <w:rFonts w:ascii="Palatino Linotype" w:hAnsi="Palatino Linotype"/>
        </w:rPr>
        <w:t>l</w:t>
      </w:r>
      <w:r w:rsidR="00307678">
        <w:rPr>
          <w:rFonts w:ascii="Palatino Linotype" w:hAnsi="Palatino Linotype"/>
        </w:rPr>
        <w:t>a</w:t>
      </w:r>
      <w:r w:rsidRPr="009D3429">
        <w:rPr>
          <w:rFonts w:ascii="Palatino Linotype" w:hAnsi="Palatino Linotype"/>
        </w:rPr>
        <w:t xml:space="preserve"> </w:t>
      </w:r>
      <w:r w:rsidR="00307678" w:rsidRPr="00307678">
        <w:rPr>
          <w:rFonts w:ascii="Palatino Linotype" w:hAnsi="Palatino Linotype"/>
          <w:b/>
        </w:rPr>
        <w:t>Secretaría de Obra Pública</w:t>
      </w:r>
      <w:r w:rsidR="00EF3D33">
        <w:rPr>
          <w:rFonts w:ascii="Palatino Linotype" w:hAnsi="Palatino Linotype"/>
        </w:rPr>
        <w:t xml:space="preserve">, en lo sucesivo </w:t>
      </w:r>
      <w:r w:rsidR="00EF3D33">
        <w:rPr>
          <w:rFonts w:ascii="Palatino Linotype" w:hAnsi="Palatino Linotype"/>
          <w:b/>
        </w:rPr>
        <w:lastRenderedPageBreak/>
        <w:t xml:space="preserve">EL </w:t>
      </w:r>
      <w:r w:rsidRPr="009D3429">
        <w:rPr>
          <w:rFonts w:ascii="Palatino Linotype" w:hAnsi="Palatino Linotype"/>
          <w:b/>
        </w:rPr>
        <w:t>SUJETO OBLIGADO</w:t>
      </w:r>
      <w:r w:rsidRPr="009D3429">
        <w:rPr>
          <w:rFonts w:ascii="Palatino Linotype" w:hAnsi="Palatino Linotype"/>
        </w:rPr>
        <w:t xml:space="preserve">, </w:t>
      </w:r>
      <w:r w:rsidR="00EF3D33">
        <w:rPr>
          <w:rFonts w:ascii="Palatino Linotype" w:hAnsi="Palatino Linotype"/>
        </w:rPr>
        <w:t xml:space="preserve">le </w:t>
      </w:r>
      <w:r w:rsidR="00307678">
        <w:rPr>
          <w:rFonts w:ascii="Palatino Linotype" w:hAnsi="Palatino Linotype"/>
        </w:rPr>
        <w:t xml:space="preserve">proporcionara </w:t>
      </w:r>
      <w:r w:rsidR="00307678" w:rsidRPr="00307678">
        <w:rPr>
          <w:rFonts w:ascii="Palatino Linotype" w:hAnsi="Palatino Linotype"/>
        </w:rPr>
        <w:t xml:space="preserve">copia del contrato </w:t>
      </w:r>
      <w:r w:rsidR="00307678">
        <w:rPr>
          <w:rFonts w:ascii="Palatino Linotype" w:hAnsi="Palatino Linotype"/>
        </w:rPr>
        <w:t xml:space="preserve">celebrado </w:t>
      </w:r>
      <w:r w:rsidR="00307678" w:rsidRPr="00307678">
        <w:rPr>
          <w:rFonts w:ascii="Palatino Linotype" w:hAnsi="Palatino Linotype"/>
        </w:rPr>
        <w:t xml:space="preserve">con </w:t>
      </w:r>
      <w:r w:rsidR="00307678">
        <w:rPr>
          <w:rFonts w:ascii="Palatino Linotype" w:hAnsi="Palatino Linotype"/>
        </w:rPr>
        <w:t>una empresa especificada en la solicitud de mérito, derivado de la</w:t>
      </w:r>
      <w:r w:rsidR="00307678" w:rsidRPr="00307678">
        <w:rPr>
          <w:rFonts w:ascii="Palatino Linotype" w:hAnsi="Palatino Linotype"/>
        </w:rPr>
        <w:t xml:space="preserve"> construcción del Auditorio Metropolitano </w:t>
      </w:r>
      <w:r w:rsidR="00307678">
        <w:rPr>
          <w:rFonts w:ascii="Palatino Linotype" w:hAnsi="Palatino Linotype"/>
        </w:rPr>
        <w:t>en el Municipio de Tecámac.</w:t>
      </w:r>
    </w:p>
    <w:p w:rsidR="00EF3D33" w:rsidRDefault="00EF3D33" w:rsidP="00132F66">
      <w:pPr>
        <w:spacing w:line="360" w:lineRule="auto"/>
        <w:jc w:val="both"/>
        <w:rPr>
          <w:rFonts w:ascii="Palatino Linotype" w:hAnsi="Palatino Linotype"/>
        </w:rPr>
      </w:pPr>
    </w:p>
    <w:p w:rsidR="00EF3D33" w:rsidRDefault="00B2492D" w:rsidP="00132F66">
      <w:pPr>
        <w:spacing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sidRPr="009D3429">
        <w:rPr>
          <w:rFonts w:ascii="Palatino Linotype" w:hAnsi="Palatino Linotype" w:cs="Arial"/>
        </w:rPr>
        <w:t xml:space="preserve"> </w:t>
      </w:r>
      <w:r w:rsidR="00A51F16" w:rsidRPr="009D3429">
        <w:rPr>
          <w:rFonts w:ascii="Palatino Linotype" w:hAnsi="Palatino Linotype" w:cs="Arial"/>
        </w:rPr>
        <w:t>informó a</w:t>
      </w:r>
      <w:r w:rsidR="00EF3D33">
        <w:rPr>
          <w:rFonts w:ascii="Palatino Linotype" w:hAnsi="Palatino Linotype" w:cs="Arial"/>
        </w:rPr>
        <w:t>l</w:t>
      </w:r>
      <w:r w:rsidR="00CF1343">
        <w:rPr>
          <w:rFonts w:ascii="Palatino Linotype" w:hAnsi="Palatino Linotype" w:cs="Arial"/>
        </w:rPr>
        <w:t xml:space="preserve"> </w:t>
      </w:r>
      <w:r w:rsidR="00A51F16" w:rsidRPr="009D3429">
        <w:rPr>
          <w:rFonts w:ascii="Palatino Linotype" w:hAnsi="Palatino Linotype" w:cs="Arial"/>
          <w:b/>
        </w:rPr>
        <w:t>RECURRENTE</w:t>
      </w:r>
      <w:r w:rsidR="00A51F16" w:rsidRPr="009D3429">
        <w:rPr>
          <w:rFonts w:ascii="Palatino Linotype" w:hAnsi="Palatino Linotype" w:cs="Arial"/>
        </w:rPr>
        <w:t xml:space="preserve"> </w:t>
      </w:r>
      <w:r w:rsidR="00AD61D0">
        <w:rPr>
          <w:rFonts w:ascii="Palatino Linotype" w:hAnsi="Palatino Linotype" w:cs="Arial"/>
        </w:rPr>
        <w:t xml:space="preserve">la imposibilidad para hacer entrega de la información, en virtud de </w:t>
      </w:r>
      <w:r w:rsidR="00AD61D0" w:rsidRPr="00AD61D0">
        <w:rPr>
          <w:rFonts w:ascii="Palatino Linotype" w:hAnsi="Palatino Linotype" w:cs="Arial"/>
        </w:rPr>
        <w:t>que el diecisiete de mayo de dos mil diecisiete, el Comité de Transparencia de la Secreta</w:t>
      </w:r>
      <w:r w:rsidR="00AD61D0">
        <w:rPr>
          <w:rFonts w:ascii="Palatino Linotype" w:hAnsi="Palatino Linotype" w:cs="Arial"/>
        </w:rPr>
        <w:t>ría</w:t>
      </w:r>
      <w:r w:rsidR="00AD61D0" w:rsidRPr="00AD61D0">
        <w:rPr>
          <w:rFonts w:ascii="Palatino Linotype" w:hAnsi="Palatino Linotype" w:cs="Arial"/>
        </w:rPr>
        <w:t xml:space="preserve"> de Infraestructura, a propuesta de la entonces Dirección General de Administración y Construcción de Obra Pública clasif</w:t>
      </w:r>
      <w:r w:rsidR="00AD61D0">
        <w:rPr>
          <w:rFonts w:ascii="Palatino Linotype" w:hAnsi="Palatino Linotype" w:cs="Arial"/>
        </w:rPr>
        <w:t xml:space="preserve">icó </w:t>
      </w:r>
      <w:r w:rsidR="00AD61D0" w:rsidRPr="00AD61D0">
        <w:rPr>
          <w:rFonts w:ascii="Palatino Linotype" w:hAnsi="Palatino Linotype" w:cs="Arial"/>
        </w:rPr>
        <w:t>por un periodo de cinco años</w:t>
      </w:r>
      <w:r w:rsidR="00AD61D0">
        <w:rPr>
          <w:rFonts w:ascii="Palatino Linotype" w:hAnsi="Palatino Linotype" w:cs="Arial"/>
        </w:rPr>
        <w:t xml:space="preserve"> como información reservada, el</w:t>
      </w:r>
      <w:r w:rsidR="00AD61D0" w:rsidRPr="00AD61D0">
        <w:rPr>
          <w:rFonts w:ascii="Palatino Linotype" w:hAnsi="Palatino Linotype" w:cs="Arial"/>
        </w:rPr>
        <w:t xml:space="preserve"> expediente de obra de</w:t>
      </w:r>
      <w:r w:rsidR="00AD61D0">
        <w:rPr>
          <w:rFonts w:ascii="Palatino Linotype" w:hAnsi="Palatino Linotype" w:cs="Arial"/>
        </w:rPr>
        <w:t>nominada “</w:t>
      </w:r>
      <w:r w:rsidR="00AD61D0" w:rsidRPr="00AD61D0">
        <w:rPr>
          <w:rFonts w:ascii="Palatino Linotype" w:hAnsi="Palatino Linotype" w:cs="Arial"/>
          <w:i/>
        </w:rPr>
        <w:t>Construcción del Auditorio Metropolitano</w:t>
      </w:r>
      <w:r w:rsidR="00AD61D0" w:rsidRPr="00AD61D0">
        <w:rPr>
          <w:rFonts w:ascii="Palatino Linotype" w:hAnsi="Palatino Linotype" w:cs="Arial"/>
        </w:rPr>
        <w:t>", a través del Acta de la Cuadragésima Tercera Sesión Extraordinaria, mediante Acuerdo y Resolución número CT-SINF-SE-43-2017/157.</w:t>
      </w:r>
    </w:p>
    <w:p w:rsidR="00AD61D0" w:rsidRPr="009D3429" w:rsidRDefault="00AD61D0" w:rsidP="00132F66">
      <w:pPr>
        <w:spacing w:line="360" w:lineRule="auto"/>
        <w:jc w:val="both"/>
        <w:rPr>
          <w:rFonts w:ascii="Palatino Linotype" w:hAnsi="Palatino Linotype" w:cs="Arial"/>
        </w:rPr>
      </w:pPr>
    </w:p>
    <w:p w:rsidR="00B2492D" w:rsidRPr="009D3429" w:rsidRDefault="00B2492D" w:rsidP="00132F66">
      <w:pPr>
        <w:spacing w:line="360" w:lineRule="auto"/>
        <w:jc w:val="both"/>
        <w:rPr>
          <w:rFonts w:ascii="Palatino Linotype" w:hAnsi="Palatino Linotype" w:cs="Arial"/>
        </w:rPr>
      </w:pPr>
      <w:r w:rsidRPr="009D3429">
        <w:rPr>
          <w:rFonts w:ascii="Palatino Linotype" w:hAnsi="Palatino Linotype" w:cs="Arial"/>
        </w:rPr>
        <w:t xml:space="preserve">Inconforme con la respuesta otorgada, </w:t>
      </w:r>
      <w:r w:rsidR="00EF3D3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sidR="0097165B">
        <w:rPr>
          <w:rFonts w:ascii="Palatino Linotype" w:hAnsi="Palatino Linotype" w:cs="Arial"/>
        </w:rPr>
        <w:t>adoleciéndose</w:t>
      </w:r>
      <w:r w:rsidR="00472B04" w:rsidRPr="009D3429">
        <w:rPr>
          <w:rFonts w:ascii="Palatino Linotype" w:hAnsi="Palatino Linotype" w:cs="Arial"/>
        </w:rPr>
        <w:t xml:space="preserve"> esencialmente </w:t>
      </w:r>
      <w:r w:rsidR="009110E4" w:rsidRPr="009D3429">
        <w:rPr>
          <w:rFonts w:ascii="Palatino Linotype" w:hAnsi="Palatino Linotype" w:cs="Arial"/>
        </w:rPr>
        <w:t>de</w:t>
      </w:r>
      <w:r w:rsidRPr="009D3429">
        <w:rPr>
          <w:rFonts w:ascii="Palatino Linotype" w:hAnsi="Palatino Linotype" w:cs="Arial"/>
        </w:rPr>
        <w:t xml:space="preserve"> </w:t>
      </w:r>
      <w:r w:rsidR="00AD61D0">
        <w:rPr>
          <w:rFonts w:ascii="Palatino Linotype" w:hAnsi="Palatino Linotype" w:cs="Arial"/>
        </w:rPr>
        <w:t>las causales que dieron origen a la clasificación de la información como reservada.</w:t>
      </w:r>
    </w:p>
    <w:p w:rsidR="00A51F16" w:rsidRPr="009D3429" w:rsidRDefault="00A51F16" w:rsidP="00132F66">
      <w:pPr>
        <w:spacing w:line="360" w:lineRule="auto"/>
        <w:jc w:val="both"/>
        <w:rPr>
          <w:rFonts w:ascii="Palatino Linotype" w:hAnsi="Palatino Linotype" w:cs="Arial"/>
        </w:rPr>
      </w:pPr>
    </w:p>
    <w:p w:rsidR="00B34091" w:rsidRDefault="00B2492D" w:rsidP="00132F66">
      <w:pPr>
        <w:spacing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hacer entrega </w:t>
      </w:r>
      <w:r w:rsidR="00EF3D33" w:rsidRPr="00EF3D33">
        <w:rPr>
          <w:rFonts w:ascii="Palatino Linotype" w:hAnsi="Palatino Linotype" w:cs="Arial"/>
        </w:rPr>
        <w:t>de</w:t>
      </w:r>
      <w:r w:rsidR="00B34091">
        <w:rPr>
          <w:rFonts w:ascii="Palatino Linotype" w:hAnsi="Palatino Linotype" w:cs="Arial"/>
        </w:rPr>
        <w:t xml:space="preserve"> lo siguiente:</w:t>
      </w:r>
    </w:p>
    <w:p w:rsidR="00B34091" w:rsidRDefault="00B34091" w:rsidP="00132F66">
      <w:pPr>
        <w:spacing w:line="360" w:lineRule="auto"/>
        <w:jc w:val="both"/>
        <w:rPr>
          <w:rFonts w:ascii="Palatino Linotype" w:hAnsi="Palatino Linotype" w:cs="Arial"/>
        </w:rPr>
      </w:pPr>
    </w:p>
    <w:p w:rsidR="00AD61D0" w:rsidRPr="00E45436" w:rsidRDefault="00AD61D0" w:rsidP="00132F66">
      <w:pPr>
        <w:pStyle w:val="Prrafodelista"/>
        <w:numPr>
          <w:ilvl w:val="0"/>
          <w:numId w:val="4"/>
        </w:numPr>
        <w:spacing w:line="259" w:lineRule="auto"/>
        <w:ind w:left="993" w:right="757" w:hanging="284"/>
        <w:contextualSpacing w:val="0"/>
        <w:jc w:val="both"/>
        <w:rPr>
          <w:rFonts w:ascii="Palatino Linotype" w:hAnsi="Palatino Linotype" w:cs="Arial"/>
          <w:i/>
          <w:lang w:val="es-ES_tradnl"/>
        </w:rPr>
      </w:pPr>
      <w:r w:rsidRPr="00E45436">
        <w:rPr>
          <w:rFonts w:ascii="Palatino Linotype" w:hAnsi="Palatino Linotype" w:cs="Arial"/>
          <w:i/>
          <w:lang w:val="es-ES_tradnl"/>
        </w:rPr>
        <w:t xml:space="preserve">Contrato con Productos y Estructuras de Concreto, S.A de C.V. por la construcción del Auditorio Metropolitano (Obra Nueva) </w:t>
      </w:r>
      <w:proofErr w:type="spellStart"/>
      <w:r w:rsidRPr="00E45436">
        <w:rPr>
          <w:rFonts w:ascii="Palatino Linotype" w:hAnsi="Palatino Linotype" w:cs="Arial"/>
          <w:i/>
          <w:lang w:val="es-ES_tradnl"/>
        </w:rPr>
        <w:t>Tecamac</w:t>
      </w:r>
      <w:proofErr w:type="spellEnd"/>
      <w:r w:rsidRPr="00E45436">
        <w:rPr>
          <w:rFonts w:ascii="Palatino Linotype" w:hAnsi="Palatino Linotype" w:cs="Arial"/>
          <w:i/>
          <w:lang w:val="es-ES_tradnl"/>
        </w:rPr>
        <w:t xml:space="preserve"> </w:t>
      </w:r>
    </w:p>
    <w:p w:rsidR="00AD61D0" w:rsidRDefault="00AD61D0" w:rsidP="00132F66">
      <w:pPr>
        <w:pStyle w:val="Prrafodelista"/>
        <w:ind w:left="993" w:right="757" w:hanging="284"/>
        <w:rPr>
          <w:rFonts w:ascii="Palatino Linotype" w:hAnsi="Palatino Linotype" w:cs="Arial"/>
          <w:bCs/>
          <w:i/>
          <w:shd w:val="clear" w:color="auto" w:fill="FFFFFF"/>
        </w:rPr>
      </w:pPr>
    </w:p>
    <w:p w:rsidR="00AD61D0" w:rsidRDefault="00AD61D0" w:rsidP="00132F66">
      <w:pPr>
        <w:pStyle w:val="Prrafodelista"/>
        <w:ind w:left="709" w:right="757"/>
        <w:jc w:val="both"/>
        <w:rPr>
          <w:rFonts w:ascii="Palatino Linotype" w:eastAsia="Calibri" w:hAnsi="Palatino Linotype" w:cs="Arial"/>
          <w:lang w:val="es-ES_tradnl"/>
        </w:rPr>
      </w:pPr>
      <w:r w:rsidRPr="00C94585">
        <w:rPr>
          <w:rFonts w:ascii="Palatino Linotype" w:hAnsi="Palatino Linotype" w:cs="Arial"/>
          <w:bCs/>
          <w:i/>
          <w:shd w:val="clear" w:color="auto" w:fill="FFFFFF"/>
        </w:rPr>
        <w:lastRenderedPageBreak/>
        <w:t xml:space="preserve">Para lo cual, de ser el caso se deberá </w:t>
      </w:r>
      <w:r>
        <w:rPr>
          <w:rFonts w:ascii="Palatino Linotype" w:hAnsi="Palatino Linotype" w:cs="Arial"/>
          <w:bCs/>
          <w:i/>
          <w:shd w:val="clear" w:color="auto" w:fill="FFFFFF"/>
        </w:rPr>
        <w:t xml:space="preserve">emitir el Acuerdo del Comité de </w:t>
      </w:r>
      <w:r w:rsidRPr="00C94585">
        <w:rPr>
          <w:rFonts w:ascii="Palatino Linotype" w:hAnsi="Palatino Linotype" w:cs="Arial"/>
          <w:bCs/>
          <w:i/>
          <w:shd w:val="clear" w:color="auto" w:fill="FFFFFF"/>
        </w:rPr>
        <w:t>Transparencia</w:t>
      </w:r>
      <w:r w:rsidRPr="00C94585">
        <w:rPr>
          <w:rFonts w:ascii="Palatino Linotype" w:eastAsia="Calibri" w:hAnsi="Palatino Linotype" w:cs="Arial"/>
          <w:i/>
          <w:lang w:val="es-ES_tradnl"/>
        </w:rPr>
        <w:t xml:space="preserve">, en el que funde y motive las razones </w:t>
      </w:r>
      <w:r>
        <w:rPr>
          <w:rFonts w:ascii="Palatino Linotype" w:eastAsia="Calibri" w:hAnsi="Palatino Linotype" w:cs="Arial"/>
          <w:i/>
          <w:lang w:val="es-ES_tradnl"/>
        </w:rPr>
        <w:t xml:space="preserve">sobre los datos que se </w:t>
      </w:r>
      <w:r w:rsidRPr="00C94585">
        <w:rPr>
          <w:rFonts w:ascii="Palatino Linotype" w:eastAsia="Calibri" w:hAnsi="Palatino Linotype" w:cs="Arial"/>
          <w:i/>
          <w:lang w:val="es-ES_tradnl"/>
        </w:rPr>
        <w:t>supriman o eliminen dentro del soporte doc</w:t>
      </w:r>
      <w:r>
        <w:rPr>
          <w:rFonts w:ascii="Palatino Linotype" w:eastAsia="Calibri" w:hAnsi="Palatino Linotype" w:cs="Arial"/>
          <w:i/>
          <w:lang w:val="es-ES_tradnl"/>
        </w:rPr>
        <w:t xml:space="preserve">umental respectivo objeto de la </w:t>
      </w:r>
      <w:r w:rsidRPr="00C94585">
        <w:rPr>
          <w:rFonts w:ascii="Palatino Linotype" w:eastAsia="Calibri" w:hAnsi="Palatino Linotype" w:cs="Arial"/>
          <w:i/>
          <w:lang w:val="es-ES_tradnl"/>
        </w:rPr>
        <w:t>versión pública que se formule y se ponga a disposición del recurrente</w:t>
      </w:r>
      <w:r w:rsidRPr="00C94585">
        <w:rPr>
          <w:rFonts w:ascii="Palatino Linotype" w:eastAsia="Calibri" w:hAnsi="Palatino Linotype" w:cs="Arial"/>
          <w:lang w:val="es-ES_tradnl"/>
        </w:rPr>
        <w:t>.</w:t>
      </w:r>
    </w:p>
    <w:p w:rsidR="00AD61D0" w:rsidRDefault="00AD61D0" w:rsidP="00132F66">
      <w:pPr>
        <w:pStyle w:val="Prrafodelista"/>
        <w:ind w:left="993" w:right="757" w:hanging="284"/>
        <w:jc w:val="both"/>
        <w:rPr>
          <w:rFonts w:ascii="Palatino Linotype" w:eastAsia="Calibri" w:hAnsi="Palatino Linotype" w:cs="Arial"/>
          <w:lang w:val="es-ES_tradnl"/>
        </w:rPr>
      </w:pPr>
    </w:p>
    <w:p w:rsidR="00AD61D0" w:rsidRPr="00E45436" w:rsidRDefault="00AD61D0" w:rsidP="00132F66">
      <w:pPr>
        <w:pStyle w:val="Prrafodelista"/>
        <w:ind w:left="709" w:right="757"/>
        <w:jc w:val="both"/>
        <w:rPr>
          <w:rFonts w:ascii="Palatino Linotype" w:eastAsia="Calibri" w:hAnsi="Palatino Linotype" w:cs="Arial"/>
          <w:i/>
          <w:lang w:val="es-ES_tradnl"/>
        </w:rPr>
      </w:pPr>
      <w:r w:rsidRPr="00E45436">
        <w:rPr>
          <w:rFonts w:ascii="Palatino Linotype" w:eastAsia="Calibri" w:hAnsi="Palatino Linotype" w:cs="Arial"/>
          <w:i/>
          <w:lang w:val="es-ES_tradnl"/>
        </w:rPr>
        <w:t xml:space="preserve">En el caso de que la información que se ordena </w:t>
      </w:r>
      <w:r>
        <w:rPr>
          <w:rFonts w:ascii="Palatino Linotype" w:eastAsia="Calibri" w:hAnsi="Palatino Linotype" w:cs="Arial"/>
          <w:i/>
          <w:lang w:val="es-ES_tradnl"/>
        </w:rPr>
        <w:t xml:space="preserve">en el inciso a) actualice algún </w:t>
      </w:r>
      <w:r w:rsidRPr="00E45436">
        <w:rPr>
          <w:rFonts w:ascii="Palatino Linotype" w:eastAsia="Calibri" w:hAnsi="Palatino Linotype" w:cs="Arial"/>
          <w:i/>
          <w:lang w:val="es-ES_tradnl"/>
        </w:rPr>
        <w:t>supuesto de reserva, deberá poner a su disposició</w:t>
      </w:r>
      <w:r>
        <w:rPr>
          <w:rFonts w:ascii="Palatino Linotype" w:eastAsia="Calibri" w:hAnsi="Palatino Linotype" w:cs="Arial"/>
          <w:i/>
          <w:lang w:val="es-ES_tradnl"/>
        </w:rPr>
        <w:t xml:space="preserve">n del particular el acuerdo  que </w:t>
      </w:r>
      <w:r w:rsidRPr="00E45436">
        <w:rPr>
          <w:rFonts w:ascii="Palatino Linotype" w:eastAsia="Calibri" w:hAnsi="Palatino Linotype" w:cs="Arial"/>
          <w:i/>
          <w:lang w:val="es-ES_tradnl"/>
        </w:rPr>
        <w:t>sustente dicha rese</w:t>
      </w:r>
      <w:r>
        <w:rPr>
          <w:rFonts w:ascii="Palatino Linotype" w:eastAsia="Calibri" w:hAnsi="Palatino Linotype" w:cs="Arial"/>
          <w:i/>
          <w:lang w:val="es-ES_tradnl"/>
        </w:rPr>
        <w:t xml:space="preserve">rva, en términos del </w:t>
      </w:r>
      <w:r w:rsidRPr="00E45436">
        <w:rPr>
          <w:rFonts w:ascii="Palatino Linotype" w:eastAsia="Calibri" w:hAnsi="Palatino Linotype" w:cs="Arial"/>
          <w:i/>
          <w:lang w:val="es-ES_tradnl"/>
        </w:rPr>
        <w:t>considerando Cuarto.</w:t>
      </w:r>
    </w:p>
    <w:p w:rsidR="00B34091" w:rsidRDefault="00B34091" w:rsidP="00132F66">
      <w:pPr>
        <w:spacing w:line="360" w:lineRule="auto"/>
        <w:jc w:val="both"/>
        <w:rPr>
          <w:rFonts w:ascii="Palatino Linotype" w:hAnsi="Palatino Linotype" w:cs="Arial"/>
        </w:rPr>
      </w:pPr>
    </w:p>
    <w:p w:rsidR="00B2492D" w:rsidRPr="009D3429" w:rsidRDefault="00B2492D" w:rsidP="00132F66">
      <w:pPr>
        <w:spacing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6A1F35" w:rsidRPr="009D3429" w:rsidRDefault="006A1F35" w:rsidP="00132F66">
      <w:pPr>
        <w:spacing w:line="360" w:lineRule="auto"/>
        <w:jc w:val="both"/>
        <w:rPr>
          <w:rFonts w:ascii="Palatino Linotype" w:hAnsi="Palatino Linotype"/>
        </w:rPr>
      </w:pP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 xml:space="preserve">Desechar o sobreseer el recurso;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 xml:space="preserve">Confirmar la respuesta del sujeto obligado;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b/>
        </w:rPr>
        <w:t>Revocar o modificar la respuesta del sujeto obligado</w:t>
      </w:r>
      <w:r w:rsidRPr="009D3429">
        <w:rPr>
          <w:rFonts w:ascii="Palatino Linotype" w:hAnsi="Palatino Linotype"/>
        </w:rPr>
        <w:t xml:space="preserve">; y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Ordenar la entrega de la información.</w:t>
      </w:r>
    </w:p>
    <w:p w:rsidR="00472B04" w:rsidRPr="009D3429" w:rsidRDefault="00472B04" w:rsidP="00132F66">
      <w:pPr>
        <w:pStyle w:val="Prrafodelista"/>
        <w:spacing w:line="360" w:lineRule="auto"/>
        <w:jc w:val="both"/>
        <w:rPr>
          <w:rFonts w:ascii="Palatino Linotype" w:hAnsi="Palatino Linotype"/>
        </w:rPr>
      </w:pPr>
    </w:p>
    <w:p w:rsidR="00B2492D" w:rsidRPr="009D3429" w:rsidRDefault="00B2492D" w:rsidP="00132F66">
      <w:pPr>
        <w:spacing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472B04" w:rsidRPr="009D3429" w:rsidRDefault="00472B04" w:rsidP="00132F66">
      <w:pPr>
        <w:spacing w:line="360" w:lineRule="auto"/>
        <w:jc w:val="both"/>
        <w:rPr>
          <w:rFonts w:ascii="Palatino Linotype" w:hAnsi="Palatino Linotype"/>
        </w:rPr>
      </w:pPr>
    </w:p>
    <w:p w:rsidR="00EE6CCD" w:rsidRDefault="00EE6CCD" w:rsidP="00132F66">
      <w:pPr>
        <w:spacing w:line="360" w:lineRule="auto"/>
        <w:jc w:val="both"/>
        <w:rPr>
          <w:rFonts w:ascii="Palatino Linotype" w:hAnsi="Palatino Linotype" w:cs="Arial"/>
        </w:rPr>
      </w:pPr>
      <w:r>
        <w:rPr>
          <w:rFonts w:ascii="Palatino Linotype" w:hAnsi="Palatino Linotype"/>
        </w:rPr>
        <w:t xml:space="preserve">Así en el presente caso, si bien en el estudio realizado por la Ponencia </w:t>
      </w:r>
      <w:proofErr w:type="spellStart"/>
      <w:r>
        <w:rPr>
          <w:rFonts w:ascii="Palatino Linotype" w:hAnsi="Palatino Linotype"/>
        </w:rPr>
        <w:t>Resolutora</w:t>
      </w:r>
      <w:proofErr w:type="spellEnd"/>
      <w:r>
        <w:rPr>
          <w:rFonts w:ascii="Palatino Linotype" w:hAnsi="Palatino Linotype"/>
        </w:rPr>
        <w:t xml:space="preserve">,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 a la solicitud de información </w:t>
      </w:r>
      <w:r>
        <w:rPr>
          <w:rFonts w:ascii="Palatino Linotype" w:hAnsi="Palatino Linotype"/>
        </w:rPr>
        <w:lastRenderedPageBreak/>
        <w:t xml:space="preserve">pública se pronunció respecto de la documentación requerida, manifestando que ésta fue clasificada </w:t>
      </w:r>
      <w:r w:rsidR="00132F66">
        <w:rPr>
          <w:rFonts w:ascii="Palatino Linotype" w:hAnsi="Palatino Linotype"/>
        </w:rPr>
        <w:t xml:space="preserve">por el Comité de Transparencia </w:t>
      </w:r>
      <w:r>
        <w:rPr>
          <w:rFonts w:ascii="Palatino Linotype" w:hAnsi="Palatino Linotype"/>
        </w:rPr>
        <w:t xml:space="preserve">como información reservada, remitiendo el Acuerdo que sustenta dicha clasificación; no obstante, </w:t>
      </w:r>
      <w:r w:rsidR="005465A5">
        <w:rPr>
          <w:rFonts w:ascii="Palatino Linotype" w:hAnsi="Palatino Linotype"/>
        </w:rPr>
        <w:t>e</w:t>
      </w:r>
      <w:r w:rsidRPr="00C40D5F">
        <w:rPr>
          <w:rFonts w:ascii="Palatino Linotype" w:hAnsi="Palatino Linotype" w:cs="Arial"/>
        </w:rPr>
        <w:t xml:space="preserve">n armonía con la Ley de Transparencia y Acceso a la Información Pública del Estado de México y Municipios, </w:t>
      </w:r>
      <w:r w:rsidR="00132F66">
        <w:rPr>
          <w:rFonts w:ascii="Palatino Linotype" w:hAnsi="Palatino Linotype" w:cs="Arial"/>
        </w:rPr>
        <w:t xml:space="preserve">en la que </w:t>
      </w:r>
      <w:r w:rsidR="005465A5">
        <w:rPr>
          <w:rFonts w:ascii="Palatino Linotype" w:hAnsi="Palatino Linotype" w:cs="Arial"/>
        </w:rPr>
        <w:t xml:space="preserve">se </w:t>
      </w:r>
      <w:r w:rsidRPr="00C40D5F">
        <w:rPr>
          <w:rFonts w:ascii="Palatino Linotype" w:hAnsi="Palatino Linotype" w:cs="Arial"/>
        </w:rPr>
        <w:t>establece</w:t>
      </w:r>
      <w:r w:rsidR="00132F66">
        <w:rPr>
          <w:rFonts w:ascii="Palatino Linotype" w:hAnsi="Palatino Linotype" w:cs="Arial"/>
        </w:rPr>
        <w:t>n</w:t>
      </w:r>
      <w:r w:rsidRPr="00C40D5F">
        <w:rPr>
          <w:rFonts w:ascii="Palatino Linotype" w:hAnsi="Palatino Linotype" w:cs="Arial"/>
        </w:rPr>
        <w:t xml:space="preserv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132F66" w:rsidRPr="00C40D5F" w:rsidRDefault="00132F66" w:rsidP="00132F66">
      <w:pPr>
        <w:spacing w:line="360" w:lineRule="auto"/>
        <w:jc w:val="both"/>
        <w:rPr>
          <w:rFonts w:ascii="Palatino Linotype" w:hAnsi="Palatino Linotype" w:cs="Arial"/>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w:t>
      </w:r>
      <w:r w:rsidRPr="00C40D5F">
        <w:rPr>
          <w:rFonts w:ascii="Palatino Linotype" w:hAnsi="Palatino Linotype" w:cs="Arial"/>
          <w:b/>
          <w:i/>
          <w:sz w:val="22"/>
        </w:rPr>
        <w:t>Artículo 4</w:t>
      </w:r>
      <w:r w:rsidRPr="00C40D5F">
        <w:rPr>
          <w:rFonts w:ascii="Palatino Linotype" w:hAnsi="Palatino Linotype" w:cs="Arial"/>
          <w:i/>
          <w:sz w:val="22"/>
        </w:rPr>
        <w:t>. El derecho humano de acceso a la información pública es la prerrogativa de las personas para buscar, difundir, investigar, recabar, recibir y solicitar información pública, sin necesidad de acreditar personalidad ni interés jurídico.</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tabs>
          <w:tab w:val="left" w:pos="7797"/>
        </w:tabs>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Artículo 122</w:t>
      </w:r>
      <w:r w:rsidRPr="00C40D5F">
        <w:rPr>
          <w:rFonts w:ascii="Palatino Linotype" w:hAnsi="Palatino Linotype" w:cs="Arial"/>
          <w:i/>
          <w:sz w:val="22"/>
        </w:rPr>
        <w:t xml:space="preserve">. La clasificación es el proceso mediante el cual el sujeto obligado determina que la información en su poder </w:t>
      </w:r>
      <w:proofErr w:type="spellStart"/>
      <w:r w:rsidRPr="00C40D5F">
        <w:rPr>
          <w:rFonts w:ascii="Palatino Linotype" w:hAnsi="Palatino Linotype" w:cs="Arial"/>
          <w:i/>
          <w:sz w:val="22"/>
        </w:rPr>
        <w:t>actualiza</w:t>
      </w:r>
      <w:proofErr w:type="spellEnd"/>
      <w:r w:rsidRPr="00C40D5F">
        <w:rPr>
          <w:rFonts w:ascii="Palatino Linotype" w:hAnsi="Palatino Linotype" w:cs="Arial"/>
          <w:i/>
          <w:sz w:val="22"/>
        </w:rPr>
        <w:t xml:space="preserve"> alguno de los supuestos de reserva o confidencialidad, de conformidad con lo dispuesto en el presente título.</w:t>
      </w:r>
    </w:p>
    <w:p w:rsidR="00EE6CCD" w:rsidRPr="00C40D5F" w:rsidRDefault="00EE6CCD" w:rsidP="00132F66">
      <w:pPr>
        <w:pStyle w:val="Textoindependiente2"/>
        <w:tabs>
          <w:tab w:val="left" w:pos="7797"/>
        </w:tabs>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tabs>
          <w:tab w:val="left" w:pos="7797"/>
        </w:tabs>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EE6CCD" w:rsidRPr="00C40D5F" w:rsidRDefault="00EE6CCD" w:rsidP="00132F66">
      <w:pPr>
        <w:pStyle w:val="Textoindependiente2"/>
        <w:tabs>
          <w:tab w:val="left" w:pos="7797"/>
        </w:tabs>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tabs>
          <w:tab w:val="left" w:pos="7797"/>
        </w:tabs>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lastRenderedPageBreak/>
        <w:t>Los titulares de las áreas de los sujetos obligados serán los responsables de clasificar la información, de conformidad con lo dispuesto en la presente Ley y demás disposiciones jurídicas aplicables.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b/>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b/>
          <w:i/>
          <w:sz w:val="22"/>
        </w:rPr>
      </w:pPr>
      <w:r w:rsidRPr="00C40D5F">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b/>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I.</w:t>
      </w:r>
      <w:r w:rsidRPr="00C40D5F">
        <w:rPr>
          <w:rFonts w:ascii="Palatino Linotype" w:hAnsi="Palatino Linotype" w:cs="Arial"/>
          <w:i/>
          <w:sz w:val="22"/>
        </w:rPr>
        <w:t xml:space="preserve"> Comprometa la seguridad pública y cuente con un propósito genuino y un efecto demostrable;</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II.</w:t>
      </w:r>
      <w:r w:rsidRPr="00C40D5F">
        <w:rPr>
          <w:rFonts w:ascii="Palatino Linotype" w:hAnsi="Palatino Linotype" w:cs="Arial"/>
          <w:i/>
          <w:sz w:val="22"/>
        </w:rPr>
        <w:t xml:space="preserve"> Pueda menoscabar la conducción de las negociaciones y relaciones internacionales;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III.</w:t>
      </w:r>
      <w:r w:rsidRPr="00C40D5F">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IV.</w:t>
      </w:r>
      <w:r w:rsidRPr="00C40D5F">
        <w:rPr>
          <w:rFonts w:ascii="Palatino Linotype" w:hAnsi="Palatino Linotype" w:cs="Arial"/>
          <w:i/>
          <w:sz w:val="22"/>
        </w:rPr>
        <w:t xml:space="preserve"> Ponga en riesgo la vida, la seguridad o la salud de una persona física;</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V.</w:t>
      </w:r>
      <w:r w:rsidRPr="00C40D5F">
        <w:rPr>
          <w:rFonts w:ascii="Palatino Linotype" w:hAnsi="Palatino Linotype" w:cs="Arial"/>
          <w:i/>
          <w:sz w:val="22"/>
        </w:rPr>
        <w:t xml:space="preserve"> Aquella cuya divulgación obstruya o pueda causar un serio perjuicio a:</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1.</w:t>
      </w:r>
      <w:r w:rsidRPr="00C40D5F">
        <w:rPr>
          <w:rFonts w:ascii="Palatino Linotype" w:hAnsi="Palatino Linotype" w:cs="Arial"/>
          <w:i/>
          <w:sz w:val="22"/>
        </w:rPr>
        <w:t xml:space="preserve"> Las actividades de fiscalización, verificación, inspección, comprobación y auditoría sobre el cumplimiento de las Leyes; o</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2.</w:t>
      </w:r>
      <w:r w:rsidRPr="00C40D5F">
        <w:rPr>
          <w:rFonts w:ascii="Palatino Linotype" w:hAnsi="Palatino Linotype" w:cs="Arial"/>
          <w:i/>
          <w:sz w:val="22"/>
        </w:rPr>
        <w:t xml:space="preserve"> La recaudación de las contribuciones.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VI.</w:t>
      </w:r>
      <w:r w:rsidRPr="00C40D5F">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VII.</w:t>
      </w:r>
      <w:r w:rsidRPr="00C40D5F">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VIII.</w:t>
      </w:r>
      <w:r w:rsidRPr="00C40D5F">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IX.</w:t>
      </w:r>
      <w:r w:rsidRPr="00C40D5F">
        <w:rPr>
          <w:rFonts w:ascii="Palatino Linotype" w:hAnsi="Palatino Linotype" w:cs="Arial"/>
          <w:i/>
          <w:sz w:val="22"/>
        </w:rPr>
        <w:t xml:space="preserve"> Se encuentre contenida dentro de las investigaciones de hechos que la Ley señale como delitos y se tramiten ante el Ministerio Público;</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X.</w:t>
      </w:r>
      <w:r w:rsidRPr="00C40D5F">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b/>
          <w:i/>
          <w:sz w:val="22"/>
        </w:rPr>
      </w:pPr>
      <w:r w:rsidRPr="00C40D5F">
        <w:rPr>
          <w:rFonts w:ascii="Palatino Linotype" w:hAnsi="Palatino Linotype" w:cs="Arial"/>
          <w:b/>
          <w:i/>
          <w:sz w:val="22"/>
        </w:rPr>
        <w:t>Artículo 141</w:t>
      </w:r>
      <w:r w:rsidRPr="00C40D5F">
        <w:rPr>
          <w:rFonts w:ascii="Palatino Linotype" w:hAnsi="Palatino Linotype" w:cs="Arial"/>
          <w:i/>
          <w:sz w:val="22"/>
        </w:rPr>
        <w:t xml:space="preserve">. </w:t>
      </w:r>
      <w:r w:rsidRPr="00C40D5F">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rsidR="00EE6CCD" w:rsidRPr="00C40D5F" w:rsidRDefault="00EE6CCD" w:rsidP="00132F66">
      <w:pPr>
        <w:pStyle w:val="Textoindependiente2"/>
        <w:spacing w:after="0" w:line="360" w:lineRule="auto"/>
        <w:contextualSpacing/>
        <w:jc w:val="both"/>
        <w:rPr>
          <w:rFonts w:ascii="Palatino Linotype" w:hAnsi="Palatino Linotype" w:cs="Arial"/>
          <w:b/>
          <w:i/>
        </w:rPr>
      </w:pPr>
    </w:p>
    <w:p w:rsidR="00EE6CCD" w:rsidRPr="00C40D5F" w:rsidRDefault="00EE6CCD" w:rsidP="00132F66">
      <w:pPr>
        <w:spacing w:line="360" w:lineRule="auto"/>
        <w:jc w:val="both"/>
        <w:rPr>
          <w:rFonts w:ascii="Palatino Linotype" w:hAnsi="Palatino Linotype"/>
        </w:rPr>
      </w:pPr>
      <w:r w:rsidRPr="00C40D5F">
        <w:rPr>
          <w:rFonts w:ascii="Palatino Linotype" w:hAnsi="Palatino Linotype" w:cs="Arial"/>
          <w:lang w:eastAsia="es-MX"/>
        </w:rPr>
        <w:t xml:space="preserve">Por otro lado, es necesario hacer hincapié que no basta con que </w:t>
      </w:r>
      <w:r w:rsidRPr="00C40D5F">
        <w:rPr>
          <w:rFonts w:ascii="Palatino Linotype" w:hAnsi="Palatino Linotype" w:cs="Arial"/>
          <w:b/>
          <w:lang w:eastAsia="es-MX"/>
        </w:rPr>
        <w:t xml:space="preserve">EL SUJETO OBLIGADO </w:t>
      </w:r>
      <w:r w:rsidRPr="00C40D5F">
        <w:rPr>
          <w:rFonts w:ascii="Palatino Linotype" w:hAnsi="Palatino Linotype" w:cs="Arial"/>
          <w:lang w:eastAsia="es-MX"/>
        </w:rPr>
        <w:t xml:space="preserve">refiera o invoque que la información se encuentra reservada, sino que en su caso se debe de acreditar lo que establecen </w:t>
      </w:r>
      <w:r w:rsidRPr="00C40D5F">
        <w:rPr>
          <w:rFonts w:ascii="Palatino Linotype" w:hAnsi="Palatino Linotype"/>
        </w:rPr>
        <w:t xml:space="preserve">los </w:t>
      </w:r>
      <w:r w:rsidRPr="00C40D5F">
        <w:rPr>
          <w:rFonts w:ascii="Palatino Linotype" w:hAnsi="Palatino Linotype"/>
          <w:b/>
        </w:rPr>
        <w:t xml:space="preserve">Lineamientos Generales en Materia de Clasificación y Desclasificación de la Información, así como para la Elaboración de Versiones Públicas, </w:t>
      </w:r>
      <w:r w:rsidRPr="00C40D5F">
        <w:rPr>
          <w:rFonts w:ascii="Palatino Linotype" w:hAnsi="Palatino Linotype"/>
        </w:rPr>
        <w:t xml:space="preserve">en su numeral vigésimo </w:t>
      </w:r>
      <w:r w:rsidR="005465A5">
        <w:rPr>
          <w:rFonts w:ascii="Palatino Linotype" w:hAnsi="Palatino Linotype"/>
        </w:rPr>
        <w:t>cuarto y vigésimo quinto</w:t>
      </w:r>
      <w:r w:rsidR="006E4147">
        <w:rPr>
          <w:rFonts w:ascii="Palatino Linotype" w:hAnsi="Palatino Linotype"/>
        </w:rPr>
        <w:t xml:space="preserve">; </w:t>
      </w:r>
      <w:r w:rsidRPr="00C40D5F">
        <w:rPr>
          <w:rFonts w:ascii="Palatino Linotype" w:hAnsi="Palatino Linotype"/>
        </w:rPr>
        <w:t>y se citan a continuación:</w:t>
      </w:r>
    </w:p>
    <w:p w:rsidR="00EE6CCD" w:rsidRPr="00C40D5F" w:rsidRDefault="00EE6CCD" w:rsidP="00132F66">
      <w:pPr>
        <w:spacing w:line="360" w:lineRule="auto"/>
        <w:jc w:val="both"/>
        <w:rPr>
          <w:rFonts w:ascii="Palatino Linotype" w:hAnsi="Palatino Linotype"/>
        </w:rPr>
      </w:pPr>
    </w:p>
    <w:p w:rsidR="005465A5" w:rsidRDefault="00EE6CCD" w:rsidP="00132F66">
      <w:pPr>
        <w:shd w:val="clear" w:color="auto" w:fill="FFFFFF"/>
        <w:ind w:left="709" w:right="757"/>
        <w:jc w:val="both"/>
        <w:rPr>
          <w:rFonts w:ascii="Palatino Linotype" w:hAnsi="Palatino Linotype" w:cs="Arial"/>
          <w:bCs/>
          <w:i/>
          <w:sz w:val="22"/>
        </w:rPr>
      </w:pPr>
      <w:r w:rsidRPr="00C40D5F">
        <w:rPr>
          <w:rFonts w:ascii="Palatino Linotype" w:hAnsi="Palatino Linotype" w:cs="Arial"/>
          <w:bCs/>
          <w:i/>
          <w:sz w:val="22"/>
        </w:rPr>
        <w:t>“</w:t>
      </w:r>
      <w:r w:rsidR="005465A5" w:rsidRPr="005465A5">
        <w:rPr>
          <w:rFonts w:ascii="Palatino Linotype" w:hAnsi="Palatino Linotype" w:cs="Arial"/>
          <w:b/>
          <w:bCs/>
          <w:i/>
          <w:sz w:val="22"/>
        </w:rPr>
        <w:t>Vigésimo cuarto</w:t>
      </w:r>
      <w:r w:rsidR="005465A5" w:rsidRPr="00132F66">
        <w:rPr>
          <w:rFonts w:ascii="Palatino Linotype" w:hAnsi="Palatino Linotype" w:cs="Arial"/>
          <w:bCs/>
          <w:i/>
          <w:sz w:val="22"/>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132F66" w:rsidRPr="00132F66" w:rsidRDefault="00132F66" w:rsidP="00132F66">
      <w:pPr>
        <w:shd w:val="clear" w:color="auto" w:fill="FFFFFF"/>
        <w:ind w:left="709" w:right="757"/>
        <w:jc w:val="both"/>
        <w:rPr>
          <w:rFonts w:ascii="Palatino Linotype" w:hAnsi="Palatino Linotype" w:cs="Arial"/>
          <w:bCs/>
          <w:i/>
          <w:sz w:val="22"/>
        </w:rPr>
      </w:pPr>
    </w:p>
    <w:p w:rsidR="00132F66" w:rsidRPr="00132F66" w:rsidRDefault="005465A5" w:rsidP="00132F66">
      <w:pPr>
        <w:pStyle w:val="Prrafodelista"/>
        <w:numPr>
          <w:ilvl w:val="0"/>
          <w:numId w:val="5"/>
        </w:numPr>
        <w:shd w:val="clear" w:color="auto" w:fill="FFFFFF"/>
        <w:ind w:left="1276" w:right="757" w:hanging="567"/>
        <w:jc w:val="both"/>
        <w:rPr>
          <w:rFonts w:ascii="Palatino Linotype" w:hAnsi="Palatino Linotype" w:cs="Arial"/>
          <w:bCs/>
          <w:i/>
          <w:sz w:val="22"/>
        </w:rPr>
      </w:pPr>
      <w:r w:rsidRPr="00132F66">
        <w:rPr>
          <w:rFonts w:ascii="Palatino Linotype" w:hAnsi="Palatino Linotype" w:cs="Arial"/>
          <w:bCs/>
          <w:i/>
          <w:sz w:val="22"/>
        </w:rPr>
        <w:t>La existencia de un procedimiento de verificación del cumplimiento de las leyes;</w:t>
      </w:r>
    </w:p>
    <w:p w:rsidR="00132F66" w:rsidRDefault="005465A5" w:rsidP="00132F66">
      <w:pPr>
        <w:pStyle w:val="Prrafodelista"/>
        <w:numPr>
          <w:ilvl w:val="0"/>
          <w:numId w:val="5"/>
        </w:numPr>
        <w:shd w:val="clear" w:color="auto" w:fill="FFFFFF"/>
        <w:ind w:left="1276" w:right="757" w:hanging="567"/>
        <w:jc w:val="both"/>
        <w:rPr>
          <w:rFonts w:ascii="Palatino Linotype" w:hAnsi="Palatino Linotype" w:cs="Arial"/>
          <w:bCs/>
          <w:i/>
          <w:sz w:val="22"/>
        </w:rPr>
      </w:pPr>
      <w:r w:rsidRPr="00132F66">
        <w:rPr>
          <w:rFonts w:ascii="Palatino Linotype" w:hAnsi="Palatino Linotype" w:cs="Arial"/>
          <w:bCs/>
          <w:i/>
          <w:sz w:val="22"/>
        </w:rPr>
        <w:t>Que el procedimiento se encuentre en trámite;</w:t>
      </w:r>
    </w:p>
    <w:p w:rsidR="00132F66" w:rsidRDefault="005465A5" w:rsidP="00132F66">
      <w:pPr>
        <w:pStyle w:val="Prrafodelista"/>
        <w:numPr>
          <w:ilvl w:val="0"/>
          <w:numId w:val="5"/>
        </w:numPr>
        <w:shd w:val="clear" w:color="auto" w:fill="FFFFFF"/>
        <w:ind w:left="1276" w:right="757" w:hanging="567"/>
        <w:jc w:val="both"/>
        <w:rPr>
          <w:rFonts w:ascii="Palatino Linotype" w:hAnsi="Palatino Linotype" w:cs="Arial"/>
          <w:bCs/>
          <w:i/>
          <w:sz w:val="22"/>
        </w:rPr>
      </w:pPr>
      <w:r w:rsidRPr="00132F66">
        <w:rPr>
          <w:rFonts w:ascii="Palatino Linotype" w:hAnsi="Palatino Linotype" w:cs="Arial"/>
          <w:bCs/>
          <w:i/>
          <w:sz w:val="22"/>
        </w:rPr>
        <w:t>La vinculación directa con las actividades que realiza la autoridad en el procedimiento de verificación del cumplimiento de las leyes, y</w:t>
      </w:r>
    </w:p>
    <w:p w:rsidR="005465A5" w:rsidRPr="00132F66" w:rsidRDefault="005465A5" w:rsidP="00132F66">
      <w:pPr>
        <w:pStyle w:val="Prrafodelista"/>
        <w:numPr>
          <w:ilvl w:val="0"/>
          <w:numId w:val="5"/>
        </w:numPr>
        <w:shd w:val="clear" w:color="auto" w:fill="FFFFFF"/>
        <w:ind w:left="1276" w:right="757" w:hanging="567"/>
        <w:jc w:val="both"/>
        <w:rPr>
          <w:rFonts w:ascii="Palatino Linotype" w:hAnsi="Palatino Linotype" w:cs="Arial"/>
          <w:bCs/>
          <w:i/>
          <w:sz w:val="22"/>
        </w:rPr>
      </w:pPr>
      <w:r w:rsidRPr="00132F66">
        <w:rPr>
          <w:rFonts w:ascii="Palatino Linotype" w:hAnsi="Palatino Linotype" w:cs="Arial"/>
          <w:bCs/>
          <w:i/>
          <w:sz w:val="22"/>
        </w:rPr>
        <w:t>Que la difusión de la información impida u obstaculice las actividades de inspección, supervisión o vigilancia que realicen las autoridades en el procedimiento de verificación del cumplimiento de las leyes.</w:t>
      </w:r>
    </w:p>
    <w:p w:rsidR="00132F66" w:rsidRPr="00132F66" w:rsidRDefault="00132F66" w:rsidP="00132F66">
      <w:pPr>
        <w:shd w:val="clear" w:color="auto" w:fill="FFFFFF"/>
        <w:ind w:left="709" w:right="757"/>
        <w:jc w:val="both"/>
        <w:rPr>
          <w:rFonts w:ascii="Palatino Linotype" w:hAnsi="Palatino Linotype" w:cs="Arial"/>
          <w:bCs/>
          <w:i/>
          <w:sz w:val="22"/>
        </w:rPr>
      </w:pPr>
    </w:p>
    <w:p w:rsidR="00EE6CCD" w:rsidRPr="00C40D5F" w:rsidRDefault="005465A5" w:rsidP="00132F66">
      <w:pPr>
        <w:shd w:val="clear" w:color="auto" w:fill="FFFFFF"/>
        <w:ind w:left="709" w:right="757"/>
        <w:jc w:val="both"/>
        <w:rPr>
          <w:rFonts w:ascii="Palatino Linotype" w:hAnsi="Palatino Linotype" w:cs="Arial"/>
          <w:i/>
          <w:sz w:val="22"/>
        </w:rPr>
      </w:pPr>
      <w:r w:rsidRPr="005465A5">
        <w:rPr>
          <w:rFonts w:ascii="Palatino Linotype" w:hAnsi="Palatino Linotype" w:cs="Arial"/>
          <w:b/>
          <w:bCs/>
          <w:i/>
          <w:sz w:val="22"/>
        </w:rPr>
        <w:lastRenderedPageBreak/>
        <w:t xml:space="preserve">Vigésimo quinto. </w:t>
      </w:r>
      <w:r w:rsidRPr="00132F66">
        <w:rPr>
          <w:rFonts w:ascii="Palatino Linotype" w:hAnsi="Palatino Linotype" w:cs="Arial"/>
          <w:bCs/>
          <w:i/>
          <w:sz w:val="22"/>
        </w:rPr>
        <w:t>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r w:rsidR="00132F66">
        <w:rPr>
          <w:rFonts w:ascii="Palatino Linotype" w:hAnsi="Palatino Linotype" w:cs="Arial"/>
          <w:bCs/>
          <w:i/>
          <w:sz w:val="22"/>
        </w:rPr>
        <w:t>”</w:t>
      </w:r>
      <w:r w:rsidRPr="00132F66">
        <w:rPr>
          <w:rFonts w:ascii="Palatino Linotype" w:hAnsi="Palatino Linotype" w:cs="Arial"/>
          <w:bCs/>
          <w:i/>
          <w:sz w:val="22"/>
        </w:rPr>
        <w:t xml:space="preserve"> </w:t>
      </w:r>
      <w:r w:rsidR="00EE6CCD" w:rsidRPr="00132F66">
        <w:rPr>
          <w:rFonts w:ascii="Palatino Linotype" w:hAnsi="Palatino Linotype" w:cs="Arial"/>
          <w:i/>
          <w:sz w:val="22"/>
        </w:rPr>
        <w:t>(Sic)</w:t>
      </w:r>
    </w:p>
    <w:p w:rsidR="00EE6CCD" w:rsidRPr="00C40D5F" w:rsidRDefault="00EE6CCD" w:rsidP="00132F66">
      <w:pPr>
        <w:shd w:val="clear" w:color="auto" w:fill="FFFFFF"/>
        <w:spacing w:line="360" w:lineRule="auto"/>
        <w:jc w:val="both"/>
        <w:rPr>
          <w:rFonts w:ascii="Palatino Linotype" w:hAnsi="Palatino Linotype" w:cs="Arial"/>
          <w:i/>
        </w:rPr>
      </w:pPr>
    </w:p>
    <w:p w:rsidR="00EE6CCD" w:rsidRPr="00C40D5F" w:rsidRDefault="00EE6CCD" w:rsidP="00132F66">
      <w:pPr>
        <w:spacing w:line="360" w:lineRule="auto"/>
        <w:jc w:val="both"/>
        <w:rPr>
          <w:rFonts w:ascii="Palatino Linotype" w:hAnsi="Palatino Linotype" w:cs="Arial"/>
        </w:rPr>
      </w:pPr>
      <w:r w:rsidRPr="00C40D5F">
        <w:rPr>
          <w:rFonts w:ascii="Palatino Linotype" w:hAnsi="Palatino Linotype" w:cs="Arial"/>
        </w:rPr>
        <w:t>Aunado a que, la clasificación de la información como reservada debe seguir un procedimiento legal para su declaración, es decir, es necesario que el Comité de Transparencia justifique claramente que cumple con las formalidades previstas en los artículos 128, 129, 130 y 131 de la Ley de la materia, como a continuación se plasman:</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ind w:left="709" w:right="757"/>
        <w:jc w:val="both"/>
        <w:rPr>
          <w:rFonts w:ascii="Palatino Linotype" w:hAnsi="Palatino Linotype" w:cs="Arial"/>
          <w:b/>
          <w:i/>
          <w:sz w:val="22"/>
        </w:rPr>
      </w:pPr>
      <w:r w:rsidRPr="00C40D5F">
        <w:rPr>
          <w:rFonts w:ascii="Palatino Linotype" w:hAnsi="Palatino Linotype" w:cs="Arial"/>
          <w:i/>
          <w:sz w:val="22"/>
        </w:rPr>
        <w:t>“</w:t>
      </w:r>
      <w:r w:rsidRPr="00C40D5F">
        <w:rPr>
          <w:rFonts w:ascii="Palatino Linotype" w:hAnsi="Palatino Linotype" w:cs="Arial"/>
          <w:b/>
          <w:i/>
          <w:sz w:val="22"/>
        </w:rPr>
        <w:t>Artículo 128</w:t>
      </w:r>
      <w:r w:rsidRPr="00C40D5F">
        <w:rPr>
          <w:rFonts w:ascii="Palatino Linotype" w:hAnsi="Palatino Linotype" w:cs="Arial"/>
          <w:i/>
          <w:sz w:val="22"/>
        </w:rPr>
        <w:t xml:space="preserve">. En los casos en que se niegue el acceso a la información, por actualizarse alguno de los supuestos de clasificación, el Comité de Transparencia deberá </w:t>
      </w:r>
      <w:r w:rsidRPr="00C40D5F">
        <w:rPr>
          <w:rFonts w:ascii="Palatino Linotype" w:hAnsi="Palatino Linotype" w:cs="Arial"/>
          <w:b/>
          <w:i/>
          <w:sz w:val="22"/>
        </w:rPr>
        <w:t>confirmar,</w:t>
      </w:r>
      <w:r w:rsidRPr="00C40D5F">
        <w:rPr>
          <w:rFonts w:ascii="Palatino Linotype" w:hAnsi="Palatino Linotype" w:cs="Arial"/>
          <w:i/>
          <w:sz w:val="22"/>
        </w:rPr>
        <w:t xml:space="preserve"> </w:t>
      </w:r>
      <w:r w:rsidRPr="00C40D5F">
        <w:rPr>
          <w:rFonts w:ascii="Palatino Linotype" w:hAnsi="Palatino Linotype" w:cs="Arial"/>
          <w:b/>
          <w:i/>
          <w:sz w:val="22"/>
        </w:rPr>
        <w:t>modificar o revocar la decisión.</w:t>
      </w:r>
    </w:p>
    <w:p w:rsidR="00EE6CCD" w:rsidRPr="00C40D5F" w:rsidRDefault="00EE6CCD" w:rsidP="00132F66">
      <w:pPr>
        <w:ind w:left="709" w:right="757"/>
        <w:jc w:val="both"/>
        <w:rPr>
          <w:rFonts w:ascii="Palatino Linotype" w:hAnsi="Palatino Linotype" w:cs="Arial"/>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C40D5F">
        <w:rPr>
          <w:rFonts w:ascii="Palatino Linotype" w:hAnsi="Palatino Linotype" w:cs="Arial"/>
          <w:i/>
          <w:sz w:val="22"/>
        </w:rPr>
        <w:t>Además, el sujeto obligado deberá, en todo momento, aplicar una prueba de daño.</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Tratándose de aquélla información que actualice los supuestos de clasificación, deberá señalarse el plazo al que estará sujeto la reserva.</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b/>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Artículo 129</w:t>
      </w:r>
      <w:r w:rsidRPr="00C40D5F">
        <w:rPr>
          <w:rFonts w:ascii="Palatino Linotype" w:hAnsi="Palatino Linotype" w:cs="Arial"/>
          <w:i/>
          <w:sz w:val="22"/>
        </w:rPr>
        <w:t xml:space="preserve">. En la aplicación de la </w:t>
      </w:r>
      <w:r w:rsidRPr="00C40D5F">
        <w:rPr>
          <w:rFonts w:ascii="Palatino Linotype" w:hAnsi="Palatino Linotype" w:cs="Arial"/>
          <w:b/>
          <w:i/>
          <w:sz w:val="22"/>
        </w:rPr>
        <w:t>prueba de daño, el</w:t>
      </w:r>
      <w:r w:rsidRPr="00C40D5F">
        <w:rPr>
          <w:rFonts w:ascii="Palatino Linotype" w:hAnsi="Palatino Linotype" w:cs="Arial"/>
          <w:i/>
          <w:sz w:val="22"/>
        </w:rPr>
        <w:t xml:space="preserve"> sujeto obligado deberá precisar las razones objetivas por las que la apertura de la información generaría una afectación, justificando que:</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I. La divulgación de la información representa un riesgo real, demostrable e identificable del perjuicio significativo al interés público o a la seguridad pública;</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t>II. El riesgo de perjuicio que supondría la divulgación supera el interés público general de que se difunda; y</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i/>
          <w:sz w:val="22"/>
        </w:rPr>
        <w:lastRenderedPageBreak/>
        <w:t>III. La limitación se adecua al principio de proporcionalidad y representa el medio menos restrictivo disponible representa el medio menos restrictivo disponible para evitar el perjuicio.</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Artículo 130</w:t>
      </w:r>
      <w:r w:rsidRPr="00C40D5F">
        <w:rPr>
          <w:rFonts w:ascii="Palatino Linotype" w:hAnsi="Palatino Linotype" w:cs="Arial"/>
          <w:i/>
          <w:sz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Artículo 131</w:t>
      </w:r>
      <w:r w:rsidRPr="00C40D5F">
        <w:rPr>
          <w:rFonts w:ascii="Palatino Linotype" w:hAnsi="Palatino Linotype" w:cs="Arial"/>
          <w:i/>
          <w:sz w:val="22"/>
        </w:rPr>
        <w:t xml:space="preserve">. La carga de la prueba para justificar toda negativa de acceso a la información, por actualizarse cualquiera de los supuestos de clasificación previstos en esta Ley corresponderá a los sujetos obligados; </w:t>
      </w:r>
      <w:r w:rsidRPr="00C40D5F">
        <w:rPr>
          <w:rFonts w:ascii="Palatino Linotype" w:hAnsi="Palatino Linotype" w:cs="Arial"/>
          <w:b/>
          <w:i/>
          <w:sz w:val="22"/>
        </w:rPr>
        <w:t>en tal caso deberá fundar y motivar debidamente la clasificación de la información</w:t>
      </w:r>
      <w:r w:rsidRPr="00C40D5F">
        <w:rPr>
          <w:rFonts w:ascii="Palatino Linotype" w:hAnsi="Palatino Linotype" w:cs="Arial"/>
          <w:i/>
          <w:sz w:val="22"/>
        </w:rPr>
        <w:t>, de conformidad con lo previsto en la presente Ley.”</w:t>
      </w:r>
    </w:p>
    <w:p w:rsidR="00EE6CCD" w:rsidRPr="00C40D5F" w:rsidRDefault="00EE6CCD" w:rsidP="00132F66">
      <w:pPr>
        <w:pStyle w:val="Textoindependiente2"/>
        <w:spacing w:after="0" w:line="360" w:lineRule="auto"/>
        <w:ind w:left="709" w:right="757"/>
        <w:contextualSpacing/>
        <w:jc w:val="both"/>
        <w:rPr>
          <w:rFonts w:ascii="Palatino Linotype" w:hAnsi="Palatino Linotype" w:cs="Arial"/>
          <w:i/>
          <w:sz w:val="22"/>
        </w:rPr>
      </w:pPr>
    </w:p>
    <w:p w:rsidR="00EE6CCD" w:rsidRPr="00C40D5F" w:rsidRDefault="00EE6CCD" w:rsidP="00132F66">
      <w:pPr>
        <w:spacing w:line="360" w:lineRule="auto"/>
        <w:jc w:val="both"/>
        <w:rPr>
          <w:rFonts w:ascii="Palatino Linotype" w:hAnsi="Palatino Linotype" w:cs="Arial"/>
        </w:rPr>
      </w:pPr>
      <w:r w:rsidRPr="00C40D5F">
        <w:rPr>
          <w:rFonts w:ascii="Palatino Linotype" w:hAnsi="Palatino Linotype" w:cs="Arial"/>
        </w:rPr>
        <w:t>De lo transcrito,</w:t>
      </w:r>
      <w:r w:rsidRPr="00C40D5F">
        <w:rPr>
          <w:rFonts w:ascii="Palatino Linotype" w:hAnsi="Palatino Linotype" w:cs="Arial"/>
          <w:b/>
        </w:rPr>
        <w:t xml:space="preserve"> </w:t>
      </w:r>
      <w:r w:rsidRPr="00C40D5F">
        <w:rPr>
          <w:rFonts w:ascii="Palatino Linotype" w:hAnsi="Palatino Linotype" w:cs="Arial"/>
        </w:rPr>
        <w:t>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spacing w:line="360" w:lineRule="auto"/>
        <w:jc w:val="both"/>
        <w:rPr>
          <w:rFonts w:ascii="Palatino Linotype" w:hAnsi="Palatino Linotype" w:cs="Arial"/>
        </w:rPr>
      </w:pPr>
      <w:r w:rsidRPr="00C40D5F">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spacing w:line="360" w:lineRule="auto"/>
        <w:contextualSpacing/>
        <w:jc w:val="both"/>
        <w:rPr>
          <w:rFonts w:ascii="Palatino Linotype" w:hAnsi="Palatino Linotype" w:cs="Arial"/>
        </w:rPr>
      </w:pPr>
      <w:r w:rsidRPr="00C40D5F">
        <w:rPr>
          <w:rFonts w:ascii="Palatino Linotype" w:hAnsi="Palatino Linotype" w:cs="Arial"/>
        </w:rPr>
        <w:t xml:space="preserve">Al respecto, </w:t>
      </w:r>
      <w:r>
        <w:rPr>
          <w:rFonts w:ascii="Palatino Linotype" w:hAnsi="Palatino Linotype" w:cs="Arial"/>
        </w:rPr>
        <w:t xml:space="preserve">los </w:t>
      </w:r>
      <w:r w:rsidRPr="00A346E5">
        <w:rPr>
          <w:rFonts w:ascii="Palatino Linotype" w:hAnsi="Palatino Linotype" w:cs="Arial"/>
        </w:rPr>
        <w:t xml:space="preserve">Lineamientos Generales en Materia de Clasificación y Desclasificación de la Información, así como para la Elaboración de Versiones Públicas, en su numeral </w:t>
      </w:r>
      <w:r>
        <w:rPr>
          <w:rFonts w:ascii="Palatino Linotype" w:hAnsi="Palatino Linotype" w:cs="Arial"/>
        </w:rPr>
        <w:lastRenderedPageBreak/>
        <w:t xml:space="preserve">segundo fracción XIII y </w:t>
      </w:r>
      <w:r w:rsidRPr="00C40D5F">
        <w:rPr>
          <w:rFonts w:ascii="Palatino Linotype" w:hAnsi="Palatino Linotype" w:cs="Arial"/>
        </w:rPr>
        <w:t>el máximo tribunal del país ha establecido jurisprudencia respecto a qué debe entenderse por fundamentación y motivación, en los siguientes términos:</w:t>
      </w:r>
    </w:p>
    <w:p w:rsidR="00EE6CCD" w:rsidRPr="00C40D5F" w:rsidRDefault="00EE6CCD" w:rsidP="00132F66">
      <w:pPr>
        <w:spacing w:line="360" w:lineRule="auto"/>
        <w:contextualSpacing/>
        <w:jc w:val="both"/>
        <w:rPr>
          <w:rFonts w:ascii="Palatino Linotype" w:hAnsi="Palatino Linotype" w:cs="Arial"/>
        </w:rPr>
      </w:pPr>
    </w:p>
    <w:p w:rsidR="00EE6CCD" w:rsidRPr="00DE65CF" w:rsidRDefault="00EE6CCD" w:rsidP="00132F66">
      <w:pPr>
        <w:ind w:left="709" w:right="757"/>
        <w:jc w:val="both"/>
        <w:rPr>
          <w:rFonts w:ascii="Palatino Linotype" w:hAnsi="Palatino Linotype" w:cs="Arial"/>
          <w:i/>
          <w:sz w:val="22"/>
          <w:szCs w:val="22"/>
        </w:rPr>
      </w:pPr>
      <w:r w:rsidRPr="00DE65CF">
        <w:rPr>
          <w:rFonts w:ascii="Palatino Linotype" w:hAnsi="Palatino Linotype" w:cs="Arial"/>
          <w:i/>
          <w:sz w:val="22"/>
          <w:szCs w:val="22"/>
        </w:rPr>
        <w:t>“Segundo. Para efectos de los presentes Lineamientos Generales, se entenderá por:</w:t>
      </w:r>
    </w:p>
    <w:p w:rsidR="00EE6CCD" w:rsidRPr="00DE65CF" w:rsidRDefault="00EE6CCD" w:rsidP="00132F66">
      <w:pPr>
        <w:ind w:left="709" w:right="757"/>
        <w:jc w:val="both"/>
        <w:rPr>
          <w:rFonts w:ascii="Palatino Linotype" w:hAnsi="Palatino Linotype" w:cs="Arial"/>
          <w:i/>
          <w:sz w:val="22"/>
          <w:szCs w:val="22"/>
        </w:rPr>
      </w:pPr>
      <w:r w:rsidRPr="00DE65CF">
        <w:rPr>
          <w:rFonts w:ascii="Palatino Linotype" w:hAnsi="Palatino Linotype" w:cs="Arial"/>
          <w:i/>
          <w:sz w:val="22"/>
          <w:szCs w:val="22"/>
        </w:rPr>
        <w:t>…</w:t>
      </w:r>
    </w:p>
    <w:p w:rsidR="00EE6CCD" w:rsidRPr="00DE65CF" w:rsidRDefault="00EE6CCD" w:rsidP="00132F66">
      <w:pPr>
        <w:ind w:left="709" w:right="757"/>
        <w:jc w:val="both"/>
        <w:rPr>
          <w:rFonts w:ascii="Palatino Linotype" w:hAnsi="Palatino Linotype" w:cs="Arial"/>
          <w:i/>
          <w:sz w:val="22"/>
          <w:szCs w:val="22"/>
        </w:rPr>
      </w:pPr>
      <w:r w:rsidRPr="00DE65CF">
        <w:rPr>
          <w:rFonts w:ascii="Palatino Linotype" w:hAnsi="Palatino Linotype" w:cs="Arial"/>
          <w:b/>
          <w:i/>
          <w:sz w:val="22"/>
          <w:szCs w:val="22"/>
        </w:rPr>
        <w:t>XIII.    Prueba de daño</w:t>
      </w:r>
      <w:r w:rsidRPr="00DE65CF">
        <w:rPr>
          <w:rFonts w:ascii="Palatino Linotype" w:hAnsi="Palatino Linotype" w:cs="Arial"/>
          <w:i/>
          <w:sz w:val="22"/>
          <w:szCs w:val="22"/>
        </w:rPr>
        <w:t xml:space="preserve">: La argumentación fundada y motivada que deben realizar </w:t>
      </w:r>
      <w:r w:rsidR="00132F66" w:rsidRPr="00DE65CF">
        <w:rPr>
          <w:rFonts w:ascii="Palatino Linotype" w:hAnsi="Palatino Linotype" w:cs="Arial"/>
          <w:i/>
          <w:sz w:val="22"/>
          <w:szCs w:val="22"/>
        </w:rPr>
        <w:t>los sujetos obligados tendientes</w:t>
      </w:r>
      <w:r w:rsidRPr="00DE65CF">
        <w:rPr>
          <w:rFonts w:ascii="Palatino Linotype" w:hAnsi="Palatino Linotype" w:cs="Arial"/>
          <w:i/>
          <w:sz w:val="22"/>
          <w:szCs w:val="22"/>
        </w:rPr>
        <w:t xml:space="preserve"> a acreditar que la divulgación de información lesiona el interés jurídicamente protegido por la normativa aplicable y que el daño que puede producirse con la publicidad de la información es mayor que el interés de conocerla.</w:t>
      </w:r>
    </w:p>
    <w:p w:rsidR="00EE6CCD" w:rsidRPr="00DE65CF" w:rsidRDefault="00EE6CCD" w:rsidP="00132F66">
      <w:pPr>
        <w:ind w:left="709" w:right="757"/>
        <w:jc w:val="both"/>
        <w:rPr>
          <w:rFonts w:ascii="Palatino Linotype" w:hAnsi="Palatino Linotype" w:cs="Arial"/>
          <w:i/>
          <w:sz w:val="22"/>
          <w:szCs w:val="22"/>
        </w:rPr>
      </w:pPr>
    </w:p>
    <w:p w:rsidR="00EE6CCD" w:rsidRPr="00DE65CF" w:rsidRDefault="00EE6CCD" w:rsidP="00132F66">
      <w:pPr>
        <w:pStyle w:val="Textoindependiente2"/>
        <w:spacing w:after="0" w:line="240" w:lineRule="auto"/>
        <w:ind w:left="709" w:right="757"/>
        <w:contextualSpacing/>
        <w:jc w:val="both"/>
        <w:rPr>
          <w:rFonts w:ascii="Palatino Linotype" w:hAnsi="Palatino Linotype" w:cs="Arial"/>
          <w:i/>
          <w:sz w:val="22"/>
          <w:szCs w:val="22"/>
        </w:rPr>
      </w:pPr>
      <w:r w:rsidRPr="00DE65CF">
        <w:rPr>
          <w:rFonts w:ascii="Palatino Linotype" w:hAnsi="Palatino Linotype" w:cs="Arial"/>
          <w:b/>
          <w:i/>
          <w:sz w:val="22"/>
          <w:szCs w:val="22"/>
        </w:rPr>
        <w:t xml:space="preserve">FUNDAMENTACIÓN Y MOTIVACIÓN. </w:t>
      </w:r>
      <w:r w:rsidRPr="00DE65CF">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E6CCD" w:rsidRDefault="00EE6CCD" w:rsidP="00132F66">
      <w:pPr>
        <w:spacing w:line="360" w:lineRule="auto"/>
        <w:jc w:val="both"/>
        <w:rPr>
          <w:rFonts w:ascii="Palatino Linotype" w:hAnsi="Palatino Linotype" w:cs="Arial"/>
        </w:rPr>
      </w:pPr>
    </w:p>
    <w:p w:rsidR="00EE6CCD" w:rsidRPr="00C40D5F" w:rsidRDefault="00EE6CCD" w:rsidP="00132F66">
      <w:pPr>
        <w:spacing w:line="360" w:lineRule="auto"/>
        <w:jc w:val="both"/>
        <w:rPr>
          <w:rFonts w:ascii="Palatino Linotype" w:hAnsi="Palatino Linotype" w:cs="Arial"/>
        </w:rPr>
      </w:pPr>
      <w:r w:rsidRPr="00C40D5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spacing w:line="360" w:lineRule="auto"/>
        <w:jc w:val="both"/>
        <w:rPr>
          <w:rFonts w:ascii="Palatino Linotype" w:hAnsi="Palatino Linotype" w:cs="Arial"/>
        </w:rPr>
      </w:pPr>
      <w:r w:rsidRPr="00C40D5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pStyle w:val="Textoindependiente2"/>
        <w:spacing w:after="0" w:line="240" w:lineRule="auto"/>
        <w:ind w:left="709" w:right="757"/>
        <w:contextualSpacing/>
        <w:jc w:val="both"/>
        <w:rPr>
          <w:rFonts w:ascii="Palatino Linotype" w:hAnsi="Palatino Linotype" w:cs="Arial"/>
          <w:i/>
          <w:sz w:val="22"/>
        </w:rPr>
      </w:pPr>
      <w:r w:rsidRPr="00C40D5F">
        <w:rPr>
          <w:rFonts w:ascii="Palatino Linotype" w:hAnsi="Palatino Linotype" w:cs="Arial"/>
          <w:b/>
          <w:i/>
          <w:sz w:val="22"/>
        </w:rPr>
        <w:t>“FUNDAMENTACIÓN Y MOTIVACIÓN. EL ASPECTO FORMAL DE LA GARANTÍA Y SU FINALIDAD SE TRADUCEN EN EXPLICAR, JUSTIFICAR, POSIBILITAR LA DEFENSA Y COMUNICAR LA DECISIÓN</w:t>
      </w:r>
      <w:r w:rsidRPr="00C40D5F">
        <w:rPr>
          <w:rFonts w:ascii="Palatino Linotype" w:hAnsi="Palatino Linotype" w:cs="Arial"/>
          <w:i/>
          <w:sz w:val="22"/>
        </w:rPr>
        <w:t xml:space="preserve">. El contenido </w:t>
      </w:r>
      <w:r w:rsidRPr="00C40D5F">
        <w:rPr>
          <w:rFonts w:ascii="Palatino Linotype" w:hAnsi="Palatino Linotype" w:cs="Arial"/>
          <w:i/>
          <w:sz w:val="22"/>
        </w:rPr>
        <w:lastRenderedPageBreak/>
        <w:t xml:space="preserve">formal de la garantía de legalidad prevista en el artículo 16 constitucional relativa a la </w:t>
      </w:r>
      <w:r w:rsidRPr="00C40D5F">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40D5F">
        <w:rPr>
          <w:rFonts w:ascii="Palatino Linotype" w:hAnsi="Palatino Linotype" w:cs="Arial"/>
          <w:i/>
          <w:sz w:val="22"/>
        </w:rPr>
        <w:t xml:space="preserve">. Por tanto, </w:t>
      </w:r>
      <w:r w:rsidRPr="00C40D5F">
        <w:rPr>
          <w:rFonts w:ascii="Palatino Linotype" w:hAnsi="Palatino Linotype" w:cs="Arial"/>
          <w:b/>
          <w:i/>
          <w:sz w:val="22"/>
        </w:rPr>
        <w:t>no basta que el acto de autoridad apenas observe una motivación pro forma pero de una manera incongruente, insuficiente o imprecisa</w:t>
      </w:r>
      <w:r w:rsidRPr="00C40D5F">
        <w:rPr>
          <w:rFonts w:ascii="Palatino Linotype" w:hAnsi="Palatino Linotype" w:cs="Arial"/>
          <w:i/>
          <w:sz w:val="22"/>
        </w:rPr>
        <w:t>, que impida la finalidad del conocimiento, comprobación y defensa pertinente</w:t>
      </w:r>
      <w:r w:rsidRPr="00C40D5F">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40D5F">
        <w:rPr>
          <w:rFonts w:ascii="Palatino Linotype" w:hAnsi="Palatino Linotype" w:cs="Arial"/>
          <w:i/>
          <w:sz w:val="22"/>
        </w:rPr>
        <w:t>.”(Sic)</w:t>
      </w:r>
    </w:p>
    <w:p w:rsidR="00EE6CCD" w:rsidRPr="00C40D5F" w:rsidRDefault="00EE6CCD" w:rsidP="00132F66">
      <w:pPr>
        <w:pStyle w:val="Textoindependiente2"/>
        <w:spacing w:after="0" w:line="360" w:lineRule="auto"/>
        <w:contextualSpacing/>
        <w:jc w:val="both"/>
        <w:rPr>
          <w:rFonts w:ascii="Palatino Linotype" w:hAnsi="Palatino Linotype" w:cs="Arial"/>
          <w:i/>
        </w:rPr>
      </w:pPr>
    </w:p>
    <w:p w:rsidR="00EE6CCD" w:rsidRDefault="00EE6CCD" w:rsidP="00132F66">
      <w:pPr>
        <w:spacing w:line="360" w:lineRule="auto"/>
        <w:jc w:val="both"/>
        <w:rPr>
          <w:rFonts w:ascii="Palatino Linotype" w:hAnsi="Palatino Linotype" w:cs="Arial"/>
        </w:rPr>
      </w:pPr>
      <w:r w:rsidRPr="00C40D5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E6CCD" w:rsidRPr="00C40D5F" w:rsidRDefault="00EE6CCD" w:rsidP="00132F66">
      <w:pPr>
        <w:spacing w:line="360" w:lineRule="auto"/>
        <w:jc w:val="both"/>
        <w:rPr>
          <w:rFonts w:ascii="Palatino Linotype" w:hAnsi="Palatino Linotype" w:cs="Arial"/>
        </w:rPr>
      </w:pPr>
    </w:p>
    <w:p w:rsidR="00EE6CCD" w:rsidRPr="00C40D5F" w:rsidRDefault="00EE6CCD" w:rsidP="00132F66">
      <w:pPr>
        <w:autoSpaceDE w:val="0"/>
        <w:autoSpaceDN w:val="0"/>
        <w:adjustRightInd w:val="0"/>
        <w:spacing w:line="360" w:lineRule="auto"/>
        <w:ind w:right="49"/>
        <w:jc w:val="both"/>
        <w:rPr>
          <w:rFonts w:ascii="Palatino Linotype" w:hAnsi="Palatino Linotype" w:cs="Arial"/>
        </w:rPr>
      </w:pPr>
      <w:r w:rsidRPr="00C40D5F">
        <w:rPr>
          <w:rFonts w:ascii="Palatino Linotype" w:hAnsi="Palatino Linotype" w:cs="Arial"/>
        </w:rPr>
        <w:t xml:space="preserve">Luego, en el asunto que nos ocupa, se advierte, que </w:t>
      </w:r>
      <w:r w:rsidRPr="00C40D5F">
        <w:rPr>
          <w:rFonts w:ascii="Palatino Linotype" w:hAnsi="Palatino Linotype" w:cs="Arial"/>
          <w:b/>
        </w:rPr>
        <w:t xml:space="preserve">EL  SUJETO OBLIGADO </w:t>
      </w:r>
      <w:r w:rsidRPr="00C40D5F">
        <w:rPr>
          <w:rFonts w:ascii="Palatino Linotype" w:hAnsi="Palatino Linotype" w:cs="Arial"/>
        </w:rPr>
        <w:t>estableció las hipótesis normativas que se actualizan, esto es, las hipótesis previstas en el artículo 140</w:t>
      </w:r>
      <w:r w:rsidR="00DE65CF">
        <w:rPr>
          <w:rFonts w:ascii="Palatino Linotype" w:hAnsi="Palatino Linotype" w:cs="Arial"/>
        </w:rPr>
        <w:t>,</w:t>
      </w:r>
      <w:r w:rsidRPr="00C40D5F">
        <w:rPr>
          <w:rFonts w:ascii="Palatino Linotype" w:hAnsi="Palatino Linotype" w:cs="Arial"/>
        </w:rPr>
        <w:t xml:space="preserve"> fracciones V y </w:t>
      </w:r>
      <w:r w:rsidR="00132F66">
        <w:rPr>
          <w:rFonts w:ascii="Palatino Linotype" w:hAnsi="Palatino Linotype" w:cs="Arial"/>
        </w:rPr>
        <w:t>X</w:t>
      </w:r>
      <w:r w:rsidRPr="00C40D5F">
        <w:rPr>
          <w:rFonts w:ascii="Palatino Linotype" w:hAnsi="Palatino Linotype" w:cs="Arial"/>
        </w:rPr>
        <w:t xml:space="preserve"> de la Ley de Transparencia y Acceso a la Información Pública del Estado de México y Municipios; no obstante, en el Acuerdo de mérito el Comité de Transparencia del </w:t>
      </w:r>
      <w:r w:rsidRPr="00C40D5F">
        <w:rPr>
          <w:rFonts w:ascii="Palatino Linotype" w:hAnsi="Palatino Linotype" w:cs="Arial"/>
          <w:b/>
        </w:rPr>
        <w:t>SUJETO OBLIGADO</w:t>
      </w:r>
      <w:r w:rsidRPr="00C40D5F">
        <w:rPr>
          <w:rFonts w:ascii="Palatino Linotype" w:hAnsi="Palatino Linotype" w:cs="Arial"/>
        </w:rPr>
        <w:t xml:space="preserve"> no analizó los elementos de la </w:t>
      </w:r>
      <w:r w:rsidRPr="00C40D5F">
        <w:rPr>
          <w:rFonts w:ascii="Palatino Linotype" w:hAnsi="Palatino Linotype" w:cs="Arial"/>
        </w:rPr>
        <w:lastRenderedPageBreak/>
        <w:t xml:space="preserve">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Pr="00C40D5F">
        <w:rPr>
          <w:rFonts w:ascii="Palatino Linotype" w:eastAsia="Calibri" w:hAnsi="Palatino Linotype" w:cs="Bookman Old Style,Bold"/>
          <w:bCs/>
          <w:color w:val="0D0D0D"/>
          <w:lang w:eastAsia="en-US"/>
        </w:rPr>
        <w:t xml:space="preserve">ya que la clasificación de la información no se da por el simple mandato de la Ley, sino que </w:t>
      </w:r>
      <w:r w:rsidRPr="00C40D5F">
        <w:rPr>
          <w:rFonts w:ascii="Palatino Linotype" w:hAnsi="Palatino Linotype"/>
        </w:rPr>
        <w:t xml:space="preserve">es necesario que </w:t>
      </w:r>
      <w:r w:rsidRPr="00C40D5F">
        <w:rPr>
          <w:rFonts w:ascii="Palatino Linotype" w:hAnsi="Palatino Linotype"/>
          <w:b/>
        </w:rPr>
        <w:t xml:space="preserve">EL SUJETO OBLIGADO </w:t>
      </w:r>
      <w:r w:rsidRPr="00C40D5F">
        <w:rPr>
          <w:rFonts w:ascii="Palatino Linotype" w:hAnsi="Palatino Linotype"/>
        </w:rPr>
        <w:t xml:space="preserve">cuando clasifique algún documento o información, ya sea todo o en parte, debe atender lo dispuesto por </w:t>
      </w:r>
      <w:r w:rsidRPr="00C40D5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40D5F">
        <w:rPr>
          <w:rFonts w:ascii="Palatino Linotype" w:hAnsi="Palatino Linotype" w:cs="Arial"/>
          <w:b/>
        </w:rPr>
        <w:t>SUJETO OBLIGADO</w:t>
      </w:r>
      <w:r w:rsidRPr="00C40D5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rsidR="00EE6CCD" w:rsidRPr="00C40D5F" w:rsidRDefault="00EE6CCD" w:rsidP="00132F66">
      <w:pPr>
        <w:autoSpaceDE w:val="0"/>
        <w:autoSpaceDN w:val="0"/>
        <w:adjustRightInd w:val="0"/>
        <w:spacing w:line="360" w:lineRule="auto"/>
        <w:ind w:right="49"/>
        <w:jc w:val="both"/>
        <w:rPr>
          <w:rFonts w:ascii="Palatino Linotype" w:hAnsi="Palatino Linotype" w:cs="Arial"/>
        </w:rPr>
      </w:pPr>
    </w:p>
    <w:p w:rsidR="00EE6CCD" w:rsidRDefault="00EE6CCD" w:rsidP="00132F66">
      <w:pPr>
        <w:autoSpaceDE w:val="0"/>
        <w:autoSpaceDN w:val="0"/>
        <w:adjustRightInd w:val="0"/>
        <w:spacing w:line="360" w:lineRule="auto"/>
        <w:ind w:right="49"/>
        <w:jc w:val="both"/>
        <w:rPr>
          <w:rFonts w:ascii="Palatino Linotype" w:hAnsi="Palatino Linotype" w:cs="Arial"/>
        </w:rPr>
      </w:pPr>
      <w:r w:rsidRPr="00C40D5F">
        <w:rPr>
          <w:rFonts w:ascii="Palatino Linotype" w:hAnsi="Palatino Linotype" w:cs="Arial"/>
        </w:rPr>
        <w:t xml:space="preserve">Para lo cual, en el caso de información de carácter reservada, se debe atender, tal y como ya fue expuesto, a lo que señalan los artículos 3, </w:t>
      </w:r>
      <w:proofErr w:type="spellStart"/>
      <w:r w:rsidRPr="00C40D5F">
        <w:rPr>
          <w:rFonts w:ascii="Palatino Linotype" w:hAnsi="Palatino Linotype" w:cs="Arial"/>
        </w:rPr>
        <w:t>fracción</w:t>
      </w:r>
      <w:r w:rsidR="00DE65CF">
        <w:rPr>
          <w:rFonts w:ascii="Palatino Linotype" w:hAnsi="Palatino Linotype" w:cs="Arial"/>
        </w:rPr>
        <w:t>es</w:t>
      </w:r>
      <w:proofErr w:type="spellEnd"/>
      <w:r w:rsidRPr="00C40D5F">
        <w:rPr>
          <w:rFonts w:ascii="Palatino Linotype" w:hAnsi="Palatino Linotype" w:cs="Arial"/>
        </w:rPr>
        <w:t xml:space="preserve"> XX, XXIV y XXXIII, 4 segundo párrafo, 24, fracción VI, 91, 122, 125, 126, 127, 128, 129, 130, 131, 132, 133, 134, 135, 137, 140, fracción V, 141 y 142 de la de la Ley de Transparencia y Acceso a la Información Pública del Estado de México y Municipios, así como en el numeral CUARENTA Y SIETE de los Lineamientos para la Recepción, Trámite y Resolución de las Solicitudes de Acceso a la Información, así como de los Recursos de Revisión que </w:t>
      </w:r>
      <w:r w:rsidRPr="00C40D5F">
        <w:rPr>
          <w:rFonts w:ascii="Palatino Linotype" w:hAnsi="Palatino Linotype" w:cs="Arial"/>
        </w:rPr>
        <w:lastRenderedPageBreak/>
        <w:t xml:space="preserve">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rsidR="00C61158" w:rsidRPr="00C40D5F" w:rsidRDefault="00C61158" w:rsidP="00132F66">
      <w:pPr>
        <w:autoSpaceDE w:val="0"/>
        <w:autoSpaceDN w:val="0"/>
        <w:adjustRightInd w:val="0"/>
        <w:spacing w:line="360" w:lineRule="auto"/>
        <w:ind w:right="49"/>
        <w:jc w:val="both"/>
        <w:rPr>
          <w:rFonts w:ascii="Palatino Linotype" w:hAnsi="Palatino Linotype" w:cs="Arial"/>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“Artículo 3. Para los efectos de la presente Ley se entenderá por:</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XX. Información clasificada: Aquella considerada por la presente Ley como reservada o confidencial;</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XXIV. Información reservada</w:t>
      </w:r>
      <w:r w:rsidRPr="00C40D5F">
        <w:rPr>
          <w:rFonts w:ascii="Palatino Linotype" w:hAnsi="Palatino Linotype"/>
          <w:i/>
          <w:color w:val="000000"/>
          <w:sz w:val="22"/>
          <w:szCs w:val="22"/>
        </w:rPr>
        <w:t>: La clasificada con este carácter de manera temporal por las disposiciones de esta Ley, cuya divulgación puede causar daño en términos de lo establecido por esta Ley;</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XXXIII. Prueba de Daño</w:t>
      </w:r>
      <w:r w:rsidRPr="00C40D5F">
        <w:rPr>
          <w:rFonts w:ascii="Palatino Linotype" w:hAnsi="Palatino Linotype"/>
          <w:i/>
          <w:color w:val="000000"/>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Artículo 4. El derecho humano de acceso a la información pública es la prerrogativa de las personas para buscar, difundir, investigar, recabar, recibir y solicitar información pública, sin necesidad de acreditar personalidad ni interés jurídico.</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Artículo 24. Para el cumplimiento de los objetivos de esta Ley, los sujetos obligados deberán cumplir con las siguientes obligaciones, según corresponda, de acuerdo a su naturaleza: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VI. Proteger y resguardar la información clasificada como reservada o confidencial;</w:t>
      </w:r>
    </w:p>
    <w:p w:rsidR="00C61158" w:rsidRDefault="00C61158" w:rsidP="00132F66">
      <w:pPr>
        <w:ind w:left="709" w:right="757"/>
        <w:jc w:val="both"/>
        <w:rPr>
          <w:rFonts w:ascii="Palatino Linotype" w:hAnsi="Palatino Linotype"/>
          <w:i/>
          <w:color w:val="000000"/>
          <w:sz w:val="22"/>
          <w:szCs w:val="22"/>
        </w:rPr>
      </w:pPr>
    </w:p>
    <w:p w:rsidR="00EE6CCD"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Artículo 91. El acceso a la información pública será restringido excepcionalmente, cuando ésta sea clasificada como reservada o confidencial.</w:t>
      </w:r>
    </w:p>
    <w:p w:rsidR="00C61158" w:rsidRPr="00C40D5F" w:rsidRDefault="00C61158"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122.</w:t>
      </w:r>
      <w:r w:rsidRPr="00C40D5F">
        <w:rPr>
          <w:rFonts w:ascii="Palatino Linotype" w:hAnsi="Palatino Linotype"/>
          <w:i/>
          <w:color w:val="000000"/>
          <w:sz w:val="22"/>
          <w:szCs w:val="22"/>
        </w:rPr>
        <w:t xml:space="preserve"> La clasificación es el proceso mediante el cual el sujeto obligado determina que la información en su poder </w:t>
      </w:r>
      <w:proofErr w:type="spellStart"/>
      <w:r w:rsidRPr="00C40D5F">
        <w:rPr>
          <w:rFonts w:ascii="Palatino Linotype" w:hAnsi="Palatino Linotype"/>
          <w:i/>
          <w:color w:val="000000"/>
          <w:sz w:val="22"/>
          <w:szCs w:val="22"/>
        </w:rPr>
        <w:t>actualiza</w:t>
      </w:r>
      <w:proofErr w:type="spellEnd"/>
      <w:r w:rsidRPr="00C40D5F">
        <w:rPr>
          <w:rFonts w:ascii="Palatino Linotype" w:hAnsi="Palatino Linotype"/>
          <w:i/>
          <w:color w:val="000000"/>
          <w:sz w:val="22"/>
          <w:szCs w:val="22"/>
        </w:rPr>
        <w:t xml:space="preserve"> alguno de los supuestos de reserva o confidencialidad, de conformidad con lo dispuesto en el presente título.</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Los supuestos de reserva o confidencialidad previstos en las leyes deberán ser acordes con las bases, principios y disposiciones establecidos en la Ley General y, en ningún caso, podrán contravenirla.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Los titulares de las áreas de los sujetos obligados serán los responsables de clasificar la información, de conformidad con lo dispuesto en la presente Ley y demás disposiciones jurídicas aplicables.</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125.</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C40D5F">
        <w:rPr>
          <w:rFonts w:ascii="Palatino Linotype" w:hAnsi="Palatino Linotype"/>
          <w:i/>
          <w:color w:val="000000"/>
          <w:sz w:val="22"/>
          <w:szCs w:val="22"/>
        </w:rPr>
        <w:t>, contados a partir de su clasificación, salvo que antes del cumplimiento del periodo de restricción, dejaran de existir los motivos de su reserva.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 xml:space="preserve">Excepcionalmente los sujetos obligados con la aprobación de su Comité de Transparencia, podrán ampliar el periodo de reserva hasta por un plazo de cinco años </w:t>
      </w:r>
      <w:r w:rsidRPr="00C40D5F">
        <w:rPr>
          <w:rFonts w:ascii="Palatino Linotype" w:hAnsi="Palatino Linotype"/>
          <w:i/>
          <w:color w:val="000000"/>
          <w:sz w:val="22"/>
          <w:szCs w:val="22"/>
        </w:rPr>
        <w:lastRenderedPageBreak/>
        <w:t>adicionales y por una sola vez, siempre y cuando justifiquen que subsisten las causas que dieron origen a su clasificación, mediante la aplicación de una prueba de daño.</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126.</w:t>
      </w:r>
      <w:r w:rsidRPr="00C40D5F">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127.</w:t>
      </w:r>
      <w:r w:rsidRPr="00C40D5F">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En ningún caso el índice será considerado como información reservada.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Artículo 128.</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C40D5F">
        <w:rPr>
          <w:rFonts w:ascii="Palatino Linotype" w:hAnsi="Palatino Linotype"/>
          <w:b/>
          <w:i/>
          <w:color w:val="000000"/>
          <w:sz w:val="22"/>
          <w:szCs w:val="22"/>
        </w:rPr>
        <w:t>Además, el sujeto obligado deberá, en todo momento, aplicar una prueba de daño.</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Tratándose de aquélla información que actualice los supuestos de clasificación, deberá señalarse el plazo al que estará sujeto la reserva.</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Artículo 129.</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En la aplicación de la prueba de daño, el sujeto obligado deberá precisar las razones objetivas por las que la apertura de la información generaría una afectación, justificando que:</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II. El riesgo de perjuicio que supondría la divulgación supera el interés público general de que se difunda; y</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130.</w:t>
      </w:r>
      <w:r w:rsidRPr="00C40D5F">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Artículo 131.</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Artículo 132.</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La clasificación de la información se llevará a cabo en el momento en que:</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I. Se reciba una solicitud de acceso a la información;</w:t>
      </w: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II. Se determine mediante resolución de autoridad competente; o</w:t>
      </w: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i/>
          <w:color w:val="000000"/>
          <w:sz w:val="22"/>
          <w:szCs w:val="22"/>
        </w:rPr>
        <w:t>III. Se generen versiones públicas para dar cumplimiento a las obligaciones de transparencia previstas en esta Ley.</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lastRenderedPageBreak/>
        <w:t>Tratándose de información reservada, los titulares de las áreas deberán revisar la clasificación al momento de la recepción de una solicitud, para verificar si subsisten las causas que le dieron origen.</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Artículo 133.</w:t>
      </w:r>
      <w:r w:rsidRPr="00C40D5F">
        <w:rPr>
          <w:rFonts w:ascii="Palatino Linotype" w:hAnsi="Palatino Linotype"/>
          <w:i/>
          <w:color w:val="000000"/>
          <w:sz w:val="22"/>
          <w:szCs w:val="22"/>
        </w:rPr>
        <w:t xml:space="preserve"> </w:t>
      </w:r>
      <w:r w:rsidRPr="00C40D5F">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134.</w:t>
      </w:r>
      <w:r w:rsidRPr="00C40D5F">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En ningún caso se podrán clasificar documentos antes de que se genere la información.</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b/>
          <w:i/>
          <w:color w:val="000000"/>
          <w:sz w:val="22"/>
          <w:szCs w:val="22"/>
        </w:rPr>
      </w:pPr>
      <w:r w:rsidRPr="00C40D5F">
        <w:rPr>
          <w:rFonts w:ascii="Palatino Linotype" w:hAnsi="Palatino Linotype"/>
          <w:b/>
          <w:i/>
          <w:color w:val="000000"/>
          <w:sz w:val="22"/>
          <w:szCs w:val="22"/>
        </w:rPr>
        <w:t>La clasificación de información se realizará conforme a un análisis caso por caso, mediante la aplicación de la prueba de daño.</w:t>
      </w:r>
    </w:p>
    <w:p w:rsidR="00EE6CCD" w:rsidRPr="00C40D5F" w:rsidRDefault="00EE6CCD"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135.</w:t>
      </w:r>
      <w:r w:rsidRPr="00C40D5F">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C61158" w:rsidRDefault="00C61158" w:rsidP="00132F66">
      <w:pPr>
        <w:ind w:left="709" w:right="757"/>
        <w:jc w:val="both"/>
        <w:rPr>
          <w:rFonts w:ascii="Palatino Linotype" w:hAnsi="Palatino Linotype"/>
          <w:b/>
          <w:i/>
          <w:color w:val="000000"/>
          <w:sz w:val="22"/>
          <w:szCs w:val="22"/>
        </w:rPr>
      </w:pPr>
    </w:p>
    <w:p w:rsidR="00EE6CCD" w:rsidRPr="00C40D5F" w:rsidRDefault="00EE6CCD" w:rsidP="00132F66">
      <w:pPr>
        <w:ind w:left="709" w:right="757"/>
        <w:jc w:val="both"/>
        <w:rPr>
          <w:rFonts w:ascii="Palatino Linotype" w:hAnsi="Palatino Linotype"/>
          <w:i/>
          <w:color w:val="000000"/>
          <w:sz w:val="22"/>
          <w:szCs w:val="22"/>
        </w:rPr>
      </w:pPr>
      <w:r w:rsidRPr="00C40D5F">
        <w:rPr>
          <w:rFonts w:ascii="Palatino Linotype" w:hAnsi="Palatino Linotype"/>
          <w:b/>
          <w:i/>
          <w:color w:val="000000"/>
          <w:sz w:val="22"/>
          <w:szCs w:val="22"/>
        </w:rPr>
        <w:t>Artículo 137.</w:t>
      </w:r>
      <w:r w:rsidRPr="00C40D5F">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E6CCD" w:rsidRPr="00C40D5F" w:rsidRDefault="00EE6CCD" w:rsidP="00132F66">
      <w:pPr>
        <w:ind w:left="709" w:right="757"/>
        <w:jc w:val="both"/>
        <w:rPr>
          <w:rFonts w:ascii="Palatino Linotype" w:hAnsi="Palatino Linotype"/>
          <w:i/>
          <w:color w:val="000000"/>
          <w:sz w:val="22"/>
          <w:szCs w:val="22"/>
        </w:rPr>
      </w:pPr>
    </w:p>
    <w:p w:rsidR="00EE6CCD" w:rsidRPr="00C40D5F" w:rsidRDefault="00EE6CCD" w:rsidP="00132F66">
      <w:pPr>
        <w:ind w:left="709" w:right="757"/>
        <w:jc w:val="both"/>
        <w:rPr>
          <w:rFonts w:ascii="Palatino Linotype" w:hAnsi="Palatino Linotype"/>
          <w:b/>
          <w:i/>
          <w:sz w:val="22"/>
          <w:szCs w:val="22"/>
        </w:rPr>
      </w:pPr>
      <w:r w:rsidRPr="00C40D5F">
        <w:rPr>
          <w:rFonts w:ascii="Palatino Linotype" w:hAnsi="Palatino Linotype"/>
          <w:b/>
          <w:i/>
          <w:sz w:val="22"/>
          <w:szCs w:val="22"/>
        </w:rPr>
        <w:t>Artículo 140.</w:t>
      </w:r>
      <w:r w:rsidRPr="00C40D5F">
        <w:rPr>
          <w:rFonts w:ascii="Palatino Linotype" w:hAnsi="Palatino Linotype"/>
          <w:i/>
          <w:sz w:val="22"/>
          <w:szCs w:val="22"/>
        </w:rPr>
        <w:t xml:space="preserve"> </w:t>
      </w:r>
      <w:r w:rsidRPr="00C40D5F">
        <w:rPr>
          <w:rFonts w:ascii="Palatino Linotype" w:hAnsi="Palatino Linotype"/>
          <w:b/>
          <w:i/>
          <w:sz w:val="22"/>
          <w:szCs w:val="22"/>
        </w:rPr>
        <w:t>El acceso a la información pública será restringido excepcionalmente, cuando por razones de interés público, ésta sea clasificada como reservada, conforme a los criterios siguientes:</w:t>
      </w:r>
    </w:p>
    <w:p w:rsidR="00EE6CCD" w:rsidRPr="00C40D5F" w:rsidRDefault="00EE6CCD" w:rsidP="00132F66">
      <w:pPr>
        <w:ind w:left="709" w:right="757"/>
        <w:jc w:val="both"/>
        <w:rPr>
          <w:rFonts w:ascii="Palatino Linotype" w:hAnsi="Palatino Linotype"/>
          <w:i/>
          <w:sz w:val="22"/>
          <w:szCs w:val="22"/>
        </w:rPr>
      </w:pPr>
    </w:p>
    <w:p w:rsidR="00C61158" w:rsidRPr="00C61158" w:rsidRDefault="00C61158" w:rsidP="00C61158">
      <w:pPr>
        <w:ind w:left="709" w:right="757"/>
        <w:jc w:val="both"/>
        <w:rPr>
          <w:rFonts w:ascii="Palatino Linotype" w:hAnsi="Palatino Linotype"/>
          <w:b/>
          <w:i/>
          <w:sz w:val="22"/>
          <w:szCs w:val="22"/>
        </w:rPr>
      </w:pPr>
      <w:r w:rsidRPr="00C61158">
        <w:rPr>
          <w:rFonts w:ascii="Palatino Linotype" w:hAnsi="Palatino Linotype"/>
          <w:b/>
          <w:i/>
          <w:sz w:val="22"/>
          <w:szCs w:val="22"/>
        </w:rPr>
        <w:t>V. Aquella cuya divulgación obstruya o pueda causar un serio perjuicio a:</w:t>
      </w:r>
    </w:p>
    <w:p w:rsidR="00C61158" w:rsidRDefault="00C61158" w:rsidP="00C61158">
      <w:pPr>
        <w:ind w:left="709" w:right="757"/>
        <w:jc w:val="both"/>
        <w:rPr>
          <w:rFonts w:ascii="Palatino Linotype" w:hAnsi="Palatino Linotype"/>
          <w:b/>
          <w:i/>
          <w:sz w:val="22"/>
          <w:szCs w:val="22"/>
        </w:rPr>
      </w:pPr>
    </w:p>
    <w:p w:rsidR="00EE6CCD" w:rsidRPr="00C40D5F" w:rsidRDefault="00C61158" w:rsidP="00C61158">
      <w:pPr>
        <w:ind w:left="709" w:right="757"/>
        <w:jc w:val="both"/>
        <w:rPr>
          <w:rFonts w:ascii="Palatino Linotype" w:hAnsi="Palatino Linotype"/>
          <w:b/>
          <w:i/>
          <w:sz w:val="22"/>
          <w:szCs w:val="22"/>
        </w:rPr>
      </w:pPr>
      <w:r w:rsidRPr="00C61158">
        <w:rPr>
          <w:rFonts w:ascii="Palatino Linotype" w:hAnsi="Palatino Linotype"/>
          <w:b/>
          <w:i/>
          <w:sz w:val="22"/>
          <w:szCs w:val="22"/>
        </w:rPr>
        <w:t>1. Las actividades de fiscalización, verificación, inspección, comprobación y auditoría sobre el cumplimiento de las Leyes; o</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b/>
          <w:i/>
          <w:sz w:val="22"/>
          <w:szCs w:val="22"/>
        </w:rPr>
        <w:lastRenderedPageBreak/>
        <w:t>Artículo 141</w:t>
      </w:r>
      <w:r w:rsidRPr="00C40D5F">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rsidR="00EE6CCD" w:rsidRPr="00C40D5F" w:rsidRDefault="00EE6CCD" w:rsidP="00132F66">
      <w:pPr>
        <w:ind w:left="709" w:right="757"/>
        <w:jc w:val="both"/>
        <w:rPr>
          <w:rFonts w:ascii="Palatino Linotype" w:hAnsi="Palatino Linotype"/>
          <w:b/>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b/>
          <w:i/>
          <w:sz w:val="22"/>
          <w:szCs w:val="22"/>
        </w:rPr>
        <w:t>Artículo 142.</w:t>
      </w:r>
      <w:r w:rsidRPr="00C40D5F">
        <w:rPr>
          <w:rFonts w:ascii="Palatino Linotype" w:hAnsi="Palatino Linotype"/>
          <w:i/>
          <w:sz w:val="22"/>
          <w:szCs w:val="22"/>
        </w:rPr>
        <w:t xml:space="preserve"> Bajo ninguna circunstancia podrá invocarse el carácter de reservado cuando:</w:t>
      </w:r>
    </w:p>
    <w:p w:rsidR="00EE6CCD" w:rsidRPr="00C40D5F" w:rsidRDefault="00EE6CCD" w:rsidP="00132F66">
      <w:pPr>
        <w:ind w:left="709" w:right="757"/>
        <w:jc w:val="both"/>
        <w:rPr>
          <w:rFonts w:ascii="Palatino Linotype" w:hAnsi="Palatino Linotype"/>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I. Se trate de violaciones graves de derechos humanos, calificada así por autoridad competente;</w:t>
      </w:r>
    </w:p>
    <w:p w:rsidR="00EE6CCD" w:rsidRPr="00C40D5F" w:rsidRDefault="00EE6CCD" w:rsidP="00132F66">
      <w:pPr>
        <w:ind w:left="709" w:right="757"/>
        <w:jc w:val="both"/>
        <w:rPr>
          <w:rFonts w:ascii="Palatino Linotype" w:hAnsi="Palatino Linotype"/>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E6CCD" w:rsidRPr="00C40D5F" w:rsidRDefault="00EE6CCD" w:rsidP="00132F66">
      <w:pPr>
        <w:ind w:left="709" w:right="757"/>
        <w:jc w:val="both"/>
        <w:rPr>
          <w:rFonts w:ascii="Palatino Linotype" w:hAnsi="Palatino Linotype"/>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E6CCD" w:rsidRPr="00C40D5F" w:rsidRDefault="00EE6CCD" w:rsidP="00132F66">
      <w:pPr>
        <w:ind w:left="709" w:right="757"/>
        <w:jc w:val="both"/>
        <w:rPr>
          <w:rFonts w:ascii="Palatino Linotype" w:hAnsi="Palatino Linotype"/>
          <w:i/>
          <w:sz w:val="22"/>
          <w:szCs w:val="22"/>
        </w:rPr>
      </w:pPr>
    </w:p>
    <w:p w:rsidR="00EE6CCD" w:rsidRPr="00C40D5F" w:rsidRDefault="00EE6CCD" w:rsidP="00132F66">
      <w:pPr>
        <w:ind w:left="709" w:right="757"/>
        <w:jc w:val="both"/>
        <w:rPr>
          <w:rFonts w:ascii="Palatino Linotype" w:hAnsi="Palatino Linotype"/>
          <w:b/>
          <w:i/>
          <w:sz w:val="22"/>
          <w:szCs w:val="22"/>
        </w:rPr>
      </w:pPr>
      <w:r w:rsidRPr="00C40D5F">
        <w:rPr>
          <w:rFonts w:ascii="Palatino Linotype" w:hAnsi="Palatino Linotype"/>
          <w:i/>
          <w:sz w:val="22"/>
          <w:szCs w:val="22"/>
        </w:rPr>
        <w:t>IV. Se trate de información relacionada con actos de corrupción de conformidad con las disposiciones jurídicas aplicables.</w:t>
      </w:r>
      <w:r w:rsidRPr="00C40D5F">
        <w:rPr>
          <w:rFonts w:ascii="Palatino Linotype" w:hAnsi="Palatino Linotype"/>
          <w:b/>
          <w:i/>
          <w:sz w:val="22"/>
          <w:szCs w:val="22"/>
        </w:rPr>
        <w:t>”</w:t>
      </w:r>
    </w:p>
    <w:p w:rsidR="00EE6CCD" w:rsidRPr="00C40D5F" w:rsidRDefault="00EE6CCD" w:rsidP="00132F66">
      <w:pPr>
        <w:ind w:left="709" w:right="757"/>
        <w:jc w:val="both"/>
        <w:rPr>
          <w:rFonts w:ascii="Palatino Linotype" w:hAnsi="Palatino Linotype"/>
          <w:b/>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b/>
          <w:i/>
          <w:sz w:val="22"/>
          <w:szCs w:val="22"/>
        </w:rPr>
        <w:t>CUARENTA Y SIETE.-</w:t>
      </w:r>
      <w:r w:rsidRPr="00C40D5F">
        <w:rPr>
          <w:rFonts w:ascii="Palatino Linotype" w:hAnsi="Palatino Linotype"/>
          <w:i/>
          <w:sz w:val="22"/>
          <w:szCs w:val="22"/>
        </w:rPr>
        <w:t xml:space="preserve"> La resolución que emita el Comité de Información para la confirmación de la clasificación de la información como reservada deberá precisar:</w:t>
      </w:r>
    </w:p>
    <w:p w:rsidR="00EE6CCD" w:rsidRPr="00C40D5F" w:rsidRDefault="00EE6CCD" w:rsidP="00132F66">
      <w:pPr>
        <w:ind w:left="709" w:right="757"/>
        <w:jc w:val="both"/>
        <w:rPr>
          <w:rFonts w:ascii="Palatino Linotype" w:hAnsi="Palatino Linotype"/>
          <w:i/>
          <w:sz w:val="22"/>
          <w:szCs w:val="22"/>
        </w:rPr>
      </w:pP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a) Lugar y fecha de la resolución;</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b) El nombre del solicitante;</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c) La información solicitada;</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d) El razonamiento lógico que demuestre que la información encuadra en alguna de las hipótesis previstas en la Ley, debiéndose invocar el artículo, fracción, y supuesto que se actualiza;</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e) El periodo por el cual se encuentra clasificada la información solicitada;</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f)Los elementos objetivos que permitan determinar si la difusión de la información causaría un daño presente, probable y específico a los intereses jurídicos tutelados en los supuestos de excepción previstos en el artículo 20 de la Ley;</w:t>
      </w:r>
    </w:p>
    <w:p w:rsidR="00EE6CCD" w:rsidRPr="00C40D5F" w:rsidRDefault="00EE6CCD" w:rsidP="00132F66">
      <w:pPr>
        <w:ind w:left="709" w:right="757"/>
        <w:jc w:val="both"/>
        <w:rPr>
          <w:rFonts w:ascii="Palatino Linotype" w:hAnsi="Palatino Linotype"/>
          <w:i/>
          <w:sz w:val="22"/>
          <w:szCs w:val="22"/>
        </w:rPr>
      </w:pPr>
      <w:r w:rsidRPr="00C40D5F">
        <w:rPr>
          <w:rFonts w:ascii="Palatino Linotype" w:hAnsi="Palatino Linotype"/>
          <w:i/>
          <w:sz w:val="22"/>
          <w:szCs w:val="22"/>
        </w:rPr>
        <w:t>g) El número del acuerdo emitido por el Comité de Información mediante el cual se clasificó la información;</w:t>
      </w:r>
    </w:p>
    <w:p w:rsidR="00C61158" w:rsidRPr="00C40D5F" w:rsidRDefault="00EE6CCD" w:rsidP="00C61158">
      <w:pPr>
        <w:ind w:left="709" w:right="757"/>
        <w:jc w:val="both"/>
        <w:rPr>
          <w:rFonts w:ascii="Palatino Linotype" w:hAnsi="Palatino Linotype"/>
          <w:i/>
          <w:sz w:val="22"/>
          <w:szCs w:val="22"/>
        </w:rPr>
      </w:pPr>
      <w:r w:rsidRPr="00C40D5F">
        <w:rPr>
          <w:rFonts w:ascii="Palatino Linotype" w:hAnsi="Palatino Linotype"/>
          <w:i/>
          <w:sz w:val="22"/>
          <w:szCs w:val="22"/>
        </w:rPr>
        <w:lastRenderedPageBreak/>
        <w:t>h) El informe al solicitante de que tiene el derecho a interponer el recuro de revisión respectivo, en el término de 15 días hábiles contados a partir del día siguiente de que haya surtido sus efectos la notificación de dicho acuerdo;</w:t>
      </w:r>
    </w:p>
    <w:p w:rsidR="00EE6CCD" w:rsidRPr="00C40D5F" w:rsidRDefault="00C61158" w:rsidP="00132F66">
      <w:pPr>
        <w:ind w:left="709" w:right="757"/>
        <w:jc w:val="both"/>
        <w:rPr>
          <w:rFonts w:ascii="Palatino Linotype" w:hAnsi="Palatino Linotype"/>
          <w:i/>
          <w:sz w:val="22"/>
          <w:szCs w:val="22"/>
        </w:rPr>
      </w:pPr>
      <w:r>
        <w:rPr>
          <w:rFonts w:ascii="Palatino Linotype" w:hAnsi="Palatino Linotype"/>
          <w:i/>
          <w:sz w:val="22"/>
          <w:szCs w:val="22"/>
        </w:rPr>
        <w:t xml:space="preserve">i) </w:t>
      </w:r>
      <w:r w:rsidR="00EE6CCD" w:rsidRPr="00C40D5F">
        <w:rPr>
          <w:rFonts w:ascii="Palatino Linotype" w:hAnsi="Palatino Linotype"/>
          <w:i/>
          <w:sz w:val="22"/>
          <w:szCs w:val="22"/>
        </w:rPr>
        <w:t>Los nombres y firmas autógrafas de los integrantes del Comité de Información.”</w:t>
      </w:r>
    </w:p>
    <w:p w:rsidR="00EE6CCD" w:rsidRPr="00C40D5F" w:rsidRDefault="00EE6CCD" w:rsidP="00132F66">
      <w:pPr>
        <w:ind w:left="709" w:right="757"/>
        <w:jc w:val="both"/>
        <w:rPr>
          <w:rFonts w:ascii="Palatino Linotype" w:hAnsi="Palatino Linotype" w:cs="Arial"/>
          <w:sz w:val="22"/>
          <w:szCs w:val="22"/>
        </w:rPr>
      </w:pPr>
    </w:p>
    <w:p w:rsidR="00EE6CCD" w:rsidRDefault="00EE6CCD" w:rsidP="00132F66">
      <w:pPr>
        <w:ind w:left="709" w:right="757"/>
        <w:jc w:val="both"/>
        <w:rPr>
          <w:rFonts w:ascii="Palatino Linotype" w:hAnsi="Palatino Linotype" w:cs="Arial"/>
          <w:sz w:val="22"/>
          <w:szCs w:val="22"/>
        </w:rPr>
      </w:pPr>
      <w:r w:rsidRPr="00C40D5F">
        <w:rPr>
          <w:rFonts w:ascii="Palatino Linotype" w:hAnsi="Palatino Linotype" w:cs="Arial"/>
          <w:sz w:val="22"/>
          <w:szCs w:val="22"/>
        </w:rPr>
        <w:t>(Énfasis añadido)</w:t>
      </w:r>
    </w:p>
    <w:p w:rsidR="00EE6CCD" w:rsidRPr="00C40D5F" w:rsidRDefault="00EE6CCD" w:rsidP="00132F66">
      <w:pPr>
        <w:spacing w:line="360" w:lineRule="auto"/>
        <w:ind w:left="709" w:right="757"/>
        <w:jc w:val="both"/>
        <w:rPr>
          <w:rFonts w:ascii="Palatino Linotype" w:hAnsi="Palatino Linotype"/>
          <w:sz w:val="22"/>
          <w:szCs w:val="22"/>
        </w:rPr>
      </w:pPr>
    </w:p>
    <w:p w:rsidR="00EE6CCD" w:rsidRDefault="00EE6CCD" w:rsidP="00132F66">
      <w:pPr>
        <w:spacing w:line="360" w:lineRule="auto"/>
        <w:jc w:val="both"/>
        <w:rPr>
          <w:rFonts w:ascii="Palatino Linotype" w:hAnsi="Palatino Linotype" w:cs="Arial"/>
          <w:lang w:eastAsia="es-CO"/>
        </w:rPr>
      </w:pPr>
      <w:r w:rsidRPr="00C40D5F">
        <w:rPr>
          <w:rFonts w:ascii="Palatino Linotype" w:hAnsi="Palatino Linotype" w:cs="Arial"/>
          <w:lang w:eastAsia="es-CO"/>
        </w:rPr>
        <w:t xml:space="preserve">Es decir, en los casos en los que se clasifique como reservada la información solicitada, </w:t>
      </w:r>
      <w:r w:rsidRPr="00C40D5F">
        <w:rPr>
          <w:rFonts w:ascii="Palatino Linotype" w:hAnsi="Palatino Linotype" w:cs="Arial"/>
          <w:b/>
          <w:color w:val="000000"/>
          <w:lang w:eastAsia="es-MX"/>
        </w:rPr>
        <w:t>EL SUJETO OBLIGADO</w:t>
      </w:r>
      <w:r w:rsidRPr="00C40D5F">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C40D5F">
        <w:rPr>
          <w:rFonts w:ascii="Palatino Linotype" w:hAnsi="Palatino Linotype" w:cs="Arial"/>
          <w:b/>
          <w:lang w:eastAsia="es-CO"/>
        </w:rPr>
        <w:t xml:space="preserve">EL SUJETO OBLIGADO </w:t>
      </w:r>
      <w:r w:rsidRPr="00C40D5F">
        <w:rPr>
          <w:rFonts w:ascii="Palatino Linotype" w:hAnsi="Palatino Linotype" w:cs="Arial"/>
          <w:lang w:eastAsia="es-CO"/>
        </w:rPr>
        <w:t>deberá,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adecua al principio de proporcionalidad y representa el medio menos restrictivo disponible para evitar el perjuicio.</w:t>
      </w:r>
    </w:p>
    <w:p w:rsidR="00EE6CCD" w:rsidRDefault="00EE6CCD" w:rsidP="00132F66">
      <w:pPr>
        <w:spacing w:line="360" w:lineRule="auto"/>
        <w:jc w:val="both"/>
        <w:rPr>
          <w:rFonts w:ascii="Palatino Linotype" w:hAnsi="Palatino Linotype"/>
        </w:rPr>
      </w:pPr>
    </w:p>
    <w:p w:rsidR="00EE6CCD" w:rsidRDefault="00C61158" w:rsidP="00132F66">
      <w:pPr>
        <w:spacing w:line="360" w:lineRule="auto"/>
        <w:jc w:val="both"/>
        <w:rPr>
          <w:rFonts w:ascii="Palatino Linotype" w:hAnsi="Palatino Linotype"/>
        </w:rPr>
      </w:pPr>
      <w:r>
        <w:rPr>
          <w:rFonts w:ascii="Palatino Linotype" w:hAnsi="Palatino Linotype"/>
        </w:rPr>
        <w:t xml:space="preserve">Así, al no cumplir el Acuerdo de Reserva de la Información con las formalidades de fundamentación y motivación que la Ley contempla, </w:t>
      </w:r>
      <w:r w:rsidR="00EE6CCD">
        <w:rPr>
          <w:rFonts w:ascii="Palatino Linotype" w:hAnsi="Palatino Linotype"/>
        </w:rPr>
        <w:t xml:space="preserve">dicha respuesta no satisfizo </w:t>
      </w:r>
      <w:r w:rsidR="00EE6CCD" w:rsidRPr="00D221B7">
        <w:rPr>
          <w:rFonts w:ascii="Palatino Linotype" w:hAnsi="Palatino Linotype"/>
          <w:b/>
          <w:u w:val="single"/>
        </w:rPr>
        <w:t>ni total ni parcialmente</w:t>
      </w:r>
      <w:r w:rsidR="00EE6CCD">
        <w:rPr>
          <w:rFonts w:ascii="Palatino Linotype" w:hAnsi="Palatino Linotype"/>
        </w:rPr>
        <w:t xml:space="preserve"> la información requerida.</w:t>
      </w:r>
    </w:p>
    <w:p w:rsidR="00C61158" w:rsidRDefault="00C61158" w:rsidP="00132F66">
      <w:pPr>
        <w:spacing w:line="360" w:lineRule="auto"/>
        <w:jc w:val="both"/>
        <w:rPr>
          <w:rFonts w:ascii="Palatino Linotype" w:hAnsi="Palatino Linotype"/>
        </w:rPr>
      </w:pPr>
    </w:p>
    <w:p w:rsidR="00EE6CCD" w:rsidRDefault="00EE6CCD" w:rsidP="00132F66">
      <w:pPr>
        <w:spacing w:line="360" w:lineRule="auto"/>
        <w:jc w:val="both"/>
        <w:rPr>
          <w:rFonts w:ascii="Palatino Linotype" w:hAnsi="Palatino Linotype" w:cs="Arial"/>
        </w:rPr>
      </w:pPr>
      <w:r>
        <w:rPr>
          <w:rFonts w:ascii="Palatino Linotype" w:hAnsi="Palatino Linotype"/>
        </w:rPr>
        <w:t xml:space="preserve">En ese contexto, la que suscribe emite </w:t>
      </w:r>
      <w:r w:rsidRPr="00C94710">
        <w:rPr>
          <w:rFonts w:ascii="Palatino Linotype" w:hAnsi="Palatino Linotype"/>
          <w:b/>
        </w:rPr>
        <w:t>VOTO PARTICULAR</w:t>
      </w:r>
      <w:r>
        <w:rPr>
          <w:rFonts w:ascii="Palatino Linotype" w:hAnsi="Palatino Linotype"/>
        </w:rPr>
        <w:t xml:space="preserve"> ya que lo anterior, resulta aún más evidente debido a que el proyecto sometido a votación del Pleno planteó </w:t>
      </w:r>
      <w:r>
        <w:rPr>
          <w:rFonts w:ascii="Palatino Linotype" w:hAnsi="Palatino Linotype"/>
        </w:rPr>
        <w:lastRenderedPageBreak/>
        <w:t xml:space="preserve">establecer la entrega al </w:t>
      </w:r>
      <w:r w:rsidRPr="00630280">
        <w:rPr>
          <w:rFonts w:ascii="Palatino Linotype" w:hAnsi="Palatino Linotype"/>
          <w:b/>
        </w:rPr>
        <w:t>RECURRENTE</w:t>
      </w:r>
      <w:r>
        <w:rPr>
          <w:rFonts w:ascii="Palatino Linotype" w:hAnsi="Palatino Linotype"/>
        </w:rPr>
        <w:t xml:space="preserve"> de la información solicitada,</w:t>
      </w:r>
      <w:r w:rsidR="00DE65CF">
        <w:rPr>
          <w:rFonts w:ascii="Palatino Linotype" w:hAnsi="Palatino Linotype"/>
        </w:rPr>
        <w:t xml:space="preserve"> o bien el Acuerdo de Clasificación de la Información,</w:t>
      </w:r>
      <w:r>
        <w:rPr>
          <w:rFonts w:ascii="Palatino Linotype" w:hAnsi="Palatino Linotype"/>
        </w:rPr>
        <w:t xml:space="preserve"> </w:t>
      </w:r>
      <w:r>
        <w:rPr>
          <w:rFonts w:ascii="Palatino Linotype" w:hAnsi="Palatino Linotype" w:cs="Arial"/>
        </w:rPr>
        <w:t xml:space="preserve">con lo que se advierte que al ordenar completamente lo solicitado por el particular a través del </w:t>
      </w:r>
      <w:r>
        <w:rPr>
          <w:rFonts w:ascii="Palatino Linotype" w:hAnsi="Palatino Linotype" w:cs="Arial"/>
          <w:b/>
        </w:rPr>
        <w:t>SAIMEX,</w:t>
      </w:r>
      <w:r>
        <w:rPr>
          <w:rFonts w:ascii="Palatino Linotype" w:hAnsi="Palatino Linotype" w:cs="Arial"/>
        </w:rPr>
        <w:t xml:space="preserve"> la respuesta del </w:t>
      </w:r>
      <w:r w:rsidRPr="009F143E">
        <w:rPr>
          <w:rFonts w:ascii="Palatino Linotype" w:hAnsi="Palatino Linotype" w:cs="Arial"/>
          <w:b/>
        </w:rPr>
        <w:t>SUJETO OBLIGADO</w:t>
      </w:r>
      <w:r>
        <w:rPr>
          <w:rFonts w:ascii="Palatino Linotype" w:hAnsi="Palatino Linotype" w:cs="Arial"/>
        </w:rPr>
        <w:t xml:space="preserve"> no colmó ni total ni parcialmente lo requerido; por lo tanto, para la que suscribe, lo conducente era </w:t>
      </w:r>
      <w:r w:rsidRPr="00801C8F">
        <w:rPr>
          <w:rFonts w:ascii="Palatino Linotype" w:hAnsi="Palatino Linotype" w:cs="Arial"/>
          <w:b/>
        </w:rPr>
        <w:t>REVOCAR</w:t>
      </w:r>
      <w:r>
        <w:rPr>
          <w:rFonts w:ascii="Palatino Linotype" w:hAnsi="Palatino Linotype" w:cs="Arial"/>
        </w:rPr>
        <w:t xml:space="preserve"> la respuesta del </w:t>
      </w:r>
      <w:r w:rsidRPr="00801C8F">
        <w:rPr>
          <w:rFonts w:ascii="Palatino Linotype" w:hAnsi="Palatino Linotype" w:cs="Arial"/>
          <w:b/>
        </w:rPr>
        <w:t>SUJETO OBLIGADO</w:t>
      </w:r>
      <w:r>
        <w:rPr>
          <w:rFonts w:ascii="Palatino Linotype" w:hAnsi="Palatino Linotype" w:cs="Arial"/>
        </w:rPr>
        <w:t>.</w:t>
      </w:r>
    </w:p>
    <w:p w:rsidR="00CF1343" w:rsidRDefault="00CF1343" w:rsidP="00132F66">
      <w:pPr>
        <w:spacing w:line="360" w:lineRule="auto"/>
        <w:jc w:val="both"/>
        <w:rPr>
          <w:rFonts w:ascii="Palatino Linotype" w:hAnsi="Palatino Linotype" w:cs="Arial"/>
        </w:rPr>
      </w:pPr>
    </w:p>
    <w:p w:rsidR="00737D84" w:rsidRDefault="00737D84" w:rsidP="00132F66">
      <w:pPr>
        <w:spacing w:line="360" w:lineRule="auto"/>
        <w:jc w:val="both"/>
        <w:rPr>
          <w:rFonts w:ascii="Palatino Linotype" w:hAnsi="Palatino Linotype" w:cs="Arial"/>
        </w:rPr>
      </w:pPr>
    </w:p>
    <w:p w:rsidR="00737D84" w:rsidRDefault="00737D84" w:rsidP="00132F66">
      <w:pPr>
        <w:spacing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690611" w:rsidRDefault="00690611" w:rsidP="00132F66">
            <w:pPr>
              <w:spacing w:line="276" w:lineRule="auto"/>
              <w:jc w:val="center"/>
              <w:rPr>
                <w:rFonts w:ascii="Palatino Linotype" w:hAnsi="Palatino Linotype" w:cs="Arial"/>
                <w:b/>
              </w:rPr>
            </w:pPr>
          </w:p>
          <w:p w:rsidR="00ED622F" w:rsidRPr="009D3429" w:rsidRDefault="00ED622F" w:rsidP="00132F66">
            <w:pPr>
              <w:spacing w:line="276" w:lineRule="auto"/>
              <w:jc w:val="center"/>
              <w:rPr>
                <w:rFonts w:ascii="Palatino Linotype" w:hAnsi="Palatino Linotype" w:cs="Arial"/>
                <w:b/>
              </w:rPr>
            </w:pPr>
            <w:r w:rsidRPr="009D3429">
              <w:rPr>
                <w:rFonts w:ascii="Palatino Linotype" w:hAnsi="Palatino Linotype" w:cs="Arial"/>
                <w:b/>
              </w:rPr>
              <w:t>EVA ABAID YAPUR</w:t>
            </w:r>
          </w:p>
          <w:p w:rsidR="00ED622F" w:rsidRDefault="00ED622F" w:rsidP="00690611">
            <w:pPr>
              <w:spacing w:line="276" w:lineRule="auto"/>
              <w:jc w:val="center"/>
              <w:rPr>
                <w:rFonts w:ascii="Palatino Linotype" w:hAnsi="Palatino Linotype" w:cs="Arial"/>
                <w:b/>
              </w:rPr>
            </w:pPr>
            <w:r w:rsidRPr="009D3429">
              <w:rPr>
                <w:rFonts w:ascii="Palatino Linotype" w:hAnsi="Palatino Linotype" w:cs="Arial"/>
                <w:b/>
              </w:rPr>
              <w:t>COMISIONADA</w:t>
            </w:r>
          </w:p>
          <w:p w:rsidR="00452188" w:rsidRPr="009D3429" w:rsidRDefault="00452188" w:rsidP="00690611">
            <w:pPr>
              <w:spacing w:line="276" w:lineRule="auto"/>
              <w:jc w:val="center"/>
              <w:rPr>
                <w:rFonts w:ascii="Palatino Linotype" w:hAnsi="Palatino Linotype" w:cs="Arial"/>
                <w:b/>
              </w:rPr>
            </w:pPr>
            <w:r>
              <w:rPr>
                <w:rFonts w:ascii="Palatino Linotype" w:hAnsi="Palatino Linotype" w:cs="Arial"/>
                <w:b/>
              </w:rPr>
              <w:t>(RÚBRICA)</w:t>
            </w:r>
          </w:p>
        </w:tc>
      </w:tr>
    </w:tbl>
    <w:p w:rsidR="00737D84" w:rsidRDefault="00737D84" w:rsidP="00132F66">
      <w:pPr>
        <w:jc w:val="both"/>
        <w:rPr>
          <w:rFonts w:ascii="Palatino Linotype" w:eastAsia="Calibri" w:hAnsi="Palatino Linotype" w:cs="Arial"/>
          <w:color w:val="000000" w:themeColor="text1"/>
          <w:sz w:val="22"/>
        </w:rPr>
      </w:pPr>
    </w:p>
    <w:p w:rsidR="00737D84" w:rsidRDefault="00737D84" w:rsidP="00132F66">
      <w:pPr>
        <w:jc w:val="both"/>
        <w:rPr>
          <w:rFonts w:ascii="Palatino Linotype" w:eastAsia="Calibri" w:hAnsi="Palatino Linotype" w:cs="Arial"/>
          <w:color w:val="000000" w:themeColor="text1"/>
          <w:sz w:val="22"/>
        </w:rPr>
      </w:pPr>
    </w:p>
    <w:p w:rsidR="00C61158" w:rsidRDefault="00C61158" w:rsidP="00132F66">
      <w:pPr>
        <w:jc w:val="both"/>
        <w:rPr>
          <w:rFonts w:ascii="Palatino Linotype" w:eastAsia="Calibri" w:hAnsi="Palatino Linotype" w:cs="Arial"/>
          <w:color w:val="000000" w:themeColor="text1"/>
          <w:sz w:val="22"/>
        </w:rPr>
      </w:pPr>
    </w:p>
    <w:p w:rsidR="00C61158" w:rsidRDefault="00C61158" w:rsidP="00132F66">
      <w:pPr>
        <w:jc w:val="both"/>
        <w:rPr>
          <w:rFonts w:ascii="Palatino Linotype" w:eastAsia="Calibri" w:hAnsi="Palatino Linotype" w:cs="Arial"/>
          <w:color w:val="000000" w:themeColor="text1"/>
          <w:sz w:val="22"/>
        </w:rPr>
      </w:pPr>
    </w:p>
    <w:p w:rsidR="00C61158" w:rsidRDefault="00C61158" w:rsidP="00132F66">
      <w:pPr>
        <w:jc w:val="both"/>
        <w:rPr>
          <w:rFonts w:ascii="Palatino Linotype" w:eastAsia="Calibri" w:hAnsi="Palatino Linotype" w:cs="Arial"/>
          <w:color w:val="000000" w:themeColor="text1"/>
          <w:sz w:val="22"/>
        </w:rPr>
      </w:pPr>
      <w:bookmarkStart w:id="0" w:name="_GoBack"/>
      <w:bookmarkEnd w:id="0"/>
    </w:p>
    <w:p w:rsidR="00C61158" w:rsidRDefault="00C61158" w:rsidP="00132F66">
      <w:pPr>
        <w:jc w:val="both"/>
        <w:rPr>
          <w:rFonts w:ascii="Palatino Linotype" w:eastAsia="Calibri" w:hAnsi="Palatino Linotype" w:cs="Arial"/>
          <w:color w:val="000000" w:themeColor="text1"/>
          <w:sz w:val="22"/>
        </w:rPr>
      </w:pPr>
    </w:p>
    <w:p w:rsidR="00737D84" w:rsidRDefault="00737D84" w:rsidP="00132F66">
      <w:pPr>
        <w:jc w:val="both"/>
        <w:rPr>
          <w:rFonts w:ascii="Palatino Linotype" w:eastAsia="Calibri" w:hAnsi="Palatino Linotype" w:cs="Arial"/>
          <w:color w:val="000000" w:themeColor="text1"/>
          <w:sz w:val="22"/>
        </w:rPr>
      </w:pPr>
    </w:p>
    <w:p w:rsidR="00690611" w:rsidRDefault="00690611" w:rsidP="00132F66">
      <w:pPr>
        <w:jc w:val="both"/>
        <w:rPr>
          <w:rFonts w:ascii="Palatino Linotype" w:eastAsia="Calibri" w:hAnsi="Palatino Linotype" w:cs="Arial"/>
          <w:color w:val="000000" w:themeColor="text1"/>
          <w:sz w:val="22"/>
        </w:rPr>
      </w:pPr>
    </w:p>
    <w:p w:rsidR="00737D84" w:rsidRDefault="00B2492D" w:rsidP="00E9650D">
      <w:pPr>
        <w:jc w:val="both"/>
        <w:rPr>
          <w:rFonts w:ascii="Palatino Linotype" w:eastAsia="Calibri" w:hAnsi="Palatino Linotype" w:cs="Arial"/>
          <w:color w:val="000000" w:themeColor="text1"/>
          <w:sz w:val="20"/>
        </w:rPr>
      </w:pPr>
      <w:r w:rsidRPr="00690611">
        <w:rPr>
          <w:rFonts w:ascii="Palatino Linotype" w:eastAsia="Calibri" w:hAnsi="Palatino Linotype" w:cs="Arial"/>
          <w:color w:val="000000" w:themeColor="text1"/>
          <w:sz w:val="20"/>
        </w:rPr>
        <w:t>Esta hoja corresponde al voto particular emitido en</w:t>
      </w:r>
      <w:r w:rsidR="00832192" w:rsidRPr="00690611">
        <w:rPr>
          <w:rFonts w:ascii="Palatino Linotype" w:eastAsia="Calibri" w:hAnsi="Palatino Linotype" w:cs="Arial"/>
          <w:color w:val="000000" w:themeColor="text1"/>
          <w:sz w:val="20"/>
        </w:rPr>
        <w:t xml:space="preserve"> la resolución d</w:t>
      </w:r>
      <w:r w:rsidRPr="00690611">
        <w:rPr>
          <w:rFonts w:ascii="Palatino Linotype" w:eastAsia="Calibri" w:hAnsi="Palatino Linotype" w:cs="Arial"/>
          <w:color w:val="000000" w:themeColor="text1"/>
          <w:sz w:val="20"/>
        </w:rPr>
        <w:t>el recurso de revisión 0</w:t>
      </w:r>
      <w:r w:rsidR="00832192" w:rsidRPr="00690611">
        <w:rPr>
          <w:rFonts w:ascii="Palatino Linotype" w:eastAsia="Calibri" w:hAnsi="Palatino Linotype" w:cs="Arial"/>
          <w:color w:val="000000" w:themeColor="text1"/>
          <w:sz w:val="20"/>
        </w:rPr>
        <w:t>1</w:t>
      </w:r>
      <w:r w:rsidR="00C61158" w:rsidRPr="00690611">
        <w:rPr>
          <w:rFonts w:ascii="Palatino Linotype" w:eastAsia="Calibri" w:hAnsi="Palatino Linotype" w:cs="Arial"/>
          <w:color w:val="000000" w:themeColor="text1"/>
          <w:sz w:val="20"/>
        </w:rPr>
        <w:t>840</w:t>
      </w:r>
      <w:r w:rsidR="00ED622F" w:rsidRPr="00690611">
        <w:rPr>
          <w:rFonts w:ascii="Palatino Linotype" w:eastAsia="Calibri" w:hAnsi="Palatino Linotype" w:cs="Arial"/>
          <w:color w:val="000000" w:themeColor="text1"/>
          <w:sz w:val="20"/>
        </w:rPr>
        <w:t>/INFOEM/IP/RR/201</w:t>
      </w:r>
      <w:r w:rsidR="00832192" w:rsidRPr="00690611">
        <w:rPr>
          <w:rFonts w:ascii="Palatino Linotype" w:eastAsia="Calibri" w:hAnsi="Palatino Linotype" w:cs="Arial"/>
          <w:color w:val="000000" w:themeColor="text1"/>
          <w:sz w:val="20"/>
        </w:rPr>
        <w:t>8</w:t>
      </w:r>
      <w:r w:rsidRPr="00690611">
        <w:rPr>
          <w:rFonts w:ascii="Palatino Linotype" w:eastAsia="Calibri" w:hAnsi="Palatino Linotype" w:cs="Arial"/>
          <w:color w:val="000000" w:themeColor="text1"/>
          <w:sz w:val="20"/>
        </w:rPr>
        <w:t>, aprobad</w:t>
      </w:r>
      <w:r w:rsidR="00832192" w:rsidRPr="00690611">
        <w:rPr>
          <w:rFonts w:ascii="Palatino Linotype" w:eastAsia="Calibri" w:hAnsi="Palatino Linotype" w:cs="Arial"/>
          <w:color w:val="000000" w:themeColor="text1"/>
          <w:sz w:val="20"/>
        </w:rPr>
        <w:t>a</w:t>
      </w:r>
      <w:r w:rsidRPr="00690611">
        <w:rPr>
          <w:rFonts w:ascii="Palatino Linotype" w:eastAsia="Calibri" w:hAnsi="Palatino Linotype" w:cs="Arial"/>
          <w:color w:val="000000" w:themeColor="text1"/>
          <w:sz w:val="20"/>
        </w:rPr>
        <w:t xml:space="preserve"> el </w:t>
      </w:r>
      <w:r w:rsidR="00C61158" w:rsidRPr="00690611">
        <w:rPr>
          <w:rFonts w:ascii="Palatino Linotype" w:eastAsia="Calibri" w:hAnsi="Palatino Linotype" w:cs="Arial"/>
          <w:color w:val="000000" w:themeColor="text1"/>
          <w:sz w:val="20"/>
        </w:rPr>
        <w:t xml:space="preserve">uno de agosto </w:t>
      </w:r>
      <w:r w:rsidR="00CF1343" w:rsidRPr="00690611">
        <w:rPr>
          <w:rFonts w:ascii="Palatino Linotype" w:eastAsia="Calibri" w:hAnsi="Palatino Linotype" w:cs="Arial"/>
          <w:color w:val="000000" w:themeColor="text1"/>
          <w:sz w:val="20"/>
        </w:rPr>
        <w:t>de dos mil dieciocho</w:t>
      </w:r>
      <w:r w:rsidRPr="00690611">
        <w:rPr>
          <w:rFonts w:ascii="Palatino Linotype" w:eastAsia="Calibri" w:hAnsi="Palatino Linotype" w:cs="Arial"/>
          <w:color w:val="000000" w:themeColor="text1"/>
          <w:sz w:val="20"/>
        </w:rPr>
        <w:t>.</w:t>
      </w:r>
      <w:r w:rsidR="00964600" w:rsidRPr="00690611">
        <w:rPr>
          <w:rFonts w:ascii="Palatino Linotype" w:eastAsia="Calibri" w:hAnsi="Palatino Linotype" w:cs="Arial"/>
          <w:color w:val="000000" w:themeColor="text1"/>
          <w:sz w:val="20"/>
        </w:rPr>
        <w:t xml:space="preserve"> </w:t>
      </w:r>
    </w:p>
    <w:p w:rsidR="00E9650D" w:rsidRPr="00A86F34" w:rsidRDefault="00E9650D" w:rsidP="00E9650D">
      <w:pPr>
        <w:jc w:val="both"/>
        <w:rPr>
          <w:rFonts w:ascii="Palatino Linotype" w:eastAsia="Calibri" w:hAnsi="Palatino Linotype" w:cs="Arial"/>
          <w:color w:val="000000" w:themeColor="text1"/>
          <w:sz w:val="8"/>
        </w:rPr>
      </w:pPr>
    </w:p>
    <w:p w:rsidR="00847315" w:rsidRPr="00690611" w:rsidRDefault="00B2492D" w:rsidP="00E9650D">
      <w:pPr>
        <w:jc w:val="both"/>
        <w:rPr>
          <w:sz w:val="20"/>
        </w:rPr>
      </w:pPr>
      <w:r w:rsidRPr="00690611">
        <w:rPr>
          <w:rFonts w:ascii="Palatino Linotype" w:eastAsia="Calibri" w:hAnsi="Palatino Linotype" w:cs="Arial"/>
          <w:color w:val="000000" w:themeColor="text1"/>
          <w:sz w:val="20"/>
        </w:rPr>
        <w:t>YSM/A</w:t>
      </w:r>
      <w:r w:rsidR="006A1F35" w:rsidRPr="00690611">
        <w:rPr>
          <w:rFonts w:ascii="Palatino Linotype" w:eastAsia="Calibri" w:hAnsi="Palatino Linotype" w:cs="Arial"/>
          <w:color w:val="000000" w:themeColor="text1"/>
          <w:sz w:val="20"/>
        </w:rPr>
        <w:t>TU</w:t>
      </w:r>
    </w:p>
    <w:sectPr w:rsidR="00847315" w:rsidRPr="00690611" w:rsidSect="00AC0EBE">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B9" w:rsidRDefault="003B7FB9" w:rsidP="00B2492D">
      <w:r>
        <w:separator/>
      </w:r>
    </w:p>
  </w:endnote>
  <w:endnote w:type="continuationSeparator" w:id="0">
    <w:p w:rsidR="003B7FB9" w:rsidRDefault="003B7FB9"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3B7FB9" w:rsidP="003056D9">
    <w:pPr>
      <w:pStyle w:val="Piedepgina"/>
      <w:tabs>
        <w:tab w:val="clear" w:pos="4252"/>
        <w:tab w:val="left" w:pos="4228"/>
      </w:tabs>
      <w:rPr>
        <w:rFonts w:ascii="Palatino Linotype" w:hAnsi="Palatino Linotype" w:cs="Arial"/>
        <w:b/>
        <w:bCs/>
        <w:sz w:val="20"/>
        <w:szCs w:val="20"/>
      </w:rPr>
    </w:pPr>
  </w:p>
  <w:p w:rsidR="003056D9" w:rsidRDefault="003B7FB9" w:rsidP="003056D9">
    <w:pPr>
      <w:pStyle w:val="Piedepgina"/>
      <w:tabs>
        <w:tab w:val="clear" w:pos="4252"/>
        <w:tab w:val="left" w:pos="4228"/>
      </w:tabs>
      <w:rPr>
        <w:rFonts w:ascii="Palatino Linotype" w:hAnsi="Palatino Linotype" w:cs="Arial"/>
        <w:b/>
        <w:bCs/>
        <w:sz w:val="20"/>
        <w:szCs w:val="20"/>
      </w:rPr>
    </w:pPr>
  </w:p>
  <w:p w:rsidR="003056D9" w:rsidRDefault="003B7FB9" w:rsidP="003056D9">
    <w:pPr>
      <w:pStyle w:val="Piedepgina"/>
      <w:tabs>
        <w:tab w:val="clear" w:pos="4252"/>
        <w:tab w:val="left" w:pos="4228"/>
      </w:tabs>
      <w:rPr>
        <w:rFonts w:ascii="Palatino Linotype" w:hAnsi="Palatino Linotype" w:cs="Arial"/>
        <w:b/>
        <w:bCs/>
        <w:sz w:val="20"/>
        <w:szCs w:val="20"/>
      </w:rPr>
    </w:pPr>
  </w:p>
  <w:p w:rsidR="00455CB3" w:rsidRDefault="003B7FB9" w:rsidP="00690611">
    <w:pPr>
      <w:pStyle w:val="Piedepgina"/>
      <w:jc w:val="right"/>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2188">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2188">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6F30F8" w:rsidRDefault="003B7FB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B9" w:rsidRDefault="003B7FB9" w:rsidP="00B2492D">
      <w:r>
        <w:separator/>
      </w:r>
    </w:p>
  </w:footnote>
  <w:footnote w:type="continuationSeparator" w:id="0">
    <w:p w:rsidR="003B7FB9" w:rsidRDefault="003B7FB9"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B7F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9110E4"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w:t>
          </w:r>
          <w:r w:rsidR="005B5A8B">
            <w:rPr>
              <w:rFonts w:ascii="Palatino Linotype" w:hAnsi="Palatino Linotype" w:cs="Arial"/>
              <w:sz w:val="20"/>
              <w:szCs w:val="20"/>
            </w:rPr>
            <w:t>VOTO PARTICULAR</w:t>
          </w:r>
        </w:p>
      </w:tc>
    </w:tr>
    <w:tr w:rsidR="00801C8F" w:rsidRPr="008F2CCC" w:rsidTr="009110E4">
      <w:tc>
        <w:tcPr>
          <w:tcW w:w="5103" w:type="dxa"/>
          <w:shd w:val="clear" w:color="auto" w:fill="auto"/>
        </w:tcPr>
        <w:p w:rsidR="00801C8F" w:rsidRPr="00801C8F" w:rsidRDefault="009110E4" w:rsidP="00AC0EBE">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005B5A8B" w:rsidRPr="00801C8F">
            <w:rPr>
              <w:rFonts w:ascii="Palatino Linotype" w:hAnsi="Palatino Linotype" w:cs="Arial"/>
              <w:sz w:val="20"/>
              <w:szCs w:val="20"/>
            </w:rPr>
            <w:t xml:space="preserve">RECURSO DE REVISIÓN </w:t>
          </w:r>
          <w:r w:rsidR="00307678" w:rsidRPr="00307678">
            <w:rPr>
              <w:rFonts w:ascii="Palatino Linotype" w:hAnsi="Palatino Linotype" w:cs="Arial"/>
              <w:sz w:val="20"/>
              <w:szCs w:val="20"/>
            </w:rPr>
            <w:t>01840/INFOEM/IP/RR/2018</w:t>
          </w:r>
        </w:p>
      </w:tc>
    </w:tr>
  </w:tbl>
  <w:p w:rsidR="00E46383" w:rsidRDefault="003B7FB9" w:rsidP="0034309A">
    <w:pPr>
      <w:pStyle w:val="Encabezado"/>
      <w:tabs>
        <w:tab w:val="clear" w:pos="4252"/>
        <w:tab w:val="clear" w:pos="8504"/>
        <w:tab w:val="left" w:pos="2326"/>
      </w:tabs>
      <w:jc w:val="right"/>
    </w:pPr>
  </w:p>
  <w:p w:rsidR="00066B13" w:rsidRDefault="003B7FB9"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69.4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B7F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15:restartNumberingAfterBreak="0">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86CEA"/>
    <w:rsid w:val="00124FC4"/>
    <w:rsid w:val="0012522C"/>
    <w:rsid w:val="00132F66"/>
    <w:rsid w:val="00216380"/>
    <w:rsid w:val="002230A9"/>
    <w:rsid w:val="00296C85"/>
    <w:rsid w:val="002C6E86"/>
    <w:rsid w:val="00307678"/>
    <w:rsid w:val="00311E8E"/>
    <w:rsid w:val="00324EBE"/>
    <w:rsid w:val="00343D4E"/>
    <w:rsid w:val="003B7FB9"/>
    <w:rsid w:val="003C2F6A"/>
    <w:rsid w:val="003F4C4C"/>
    <w:rsid w:val="00437359"/>
    <w:rsid w:val="00452188"/>
    <w:rsid w:val="004636D8"/>
    <w:rsid w:val="00472B04"/>
    <w:rsid w:val="004F77DC"/>
    <w:rsid w:val="0053148C"/>
    <w:rsid w:val="00534623"/>
    <w:rsid w:val="00536A17"/>
    <w:rsid w:val="005465A5"/>
    <w:rsid w:val="00585BF9"/>
    <w:rsid w:val="005A18E2"/>
    <w:rsid w:val="005A4D7F"/>
    <w:rsid w:val="005B5027"/>
    <w:rsid w:val="005B5A8B"/>
    <w:rsid w:val="00654FE9"/>
    <w:rsid w:val="00674B2F"/>
    <w:rsid w:val="006801D4"/>
    <w:rsid w:val="00690611"/>
    <w:rsid w:val="006A1F35"/>
    <w:rsid w:val="006B30CD"/>
    <w:rsid w:val="006E4147"/>
    <w:rsid w:val="00737D84"/>
    <w:rsid w:val="00777C87"/>
    <w:rsid w:val="007C26E9"/>
    <w:rsid w:val="007C7A0C"/>
    <w:rsid w:val="007F5B50"/>
    <w:rsid w:val="00811B0B"/>
    <w:rsid w:val="00832192"/>
    <w:rsid w:val="00846D29"/>
    <w:rsid w:val="008529E3"/>
    <w:rsid w:val="00864D3F"/>
    <w:rsid w:val="008A35FA"/>
    <w:rsid w:val="008B0732"/>
    <w:rsid w:val="009110E4"/>
    <w:rsid w:val="009379FA"/>
    <w:rsid w:val="00955E48"/>
    <w:rsid w:val="00964600"/>
    <w:rsid w:val="0097165B"/>
    <w:rsid w:val="00973992"/>
    <w:rsid w:val="00990B93"/>
    <w:rsid w:val="009C4594"/>
    <w:rsid w:val="009D3429"/>
    <w:rsid w:val="009D7BAE"/>
    <w:rsid w:val="00A51F16"/>
    <w:rsid w:val="00A65E45"/>
    <w:rsid w:val="00A86F34"/>
    <w:rsid w:val="00A96975"/>
    <w:rsid w:val="00AC0EBE"/>
    <w:rsid w:val="00AD61D0"/>
    <w:rsid w:val="00B2492D"/>
    <w:rsid w:val="00B34091"/>
    <w:rsid w:val="00B71A4B"/>
    <w:rsid w:val="00B74B12"/>
    <w:rsid w:val="00B85728"/>
    <w:rsid w:val="00BE5708"/>
    <w:rsid w:val="00BF2A76"/>
    <w:rsid w:val="00C61158"/>
    <w:rsid w:val="00C94710"/>
    <w:rsid w:val="00CA6DA2"/>
    <w:rsid w:val="00CB7180"/>
    <w:rsid w:val="00CD4FA1"/>
    <w:rsid w:val="00CE0D21"/>
    <w:rsid w:val="00CF1343"/>
    <w:rsid w:val="00D44FBB"/>
    <w:rsid w:val="00D724F4"/>
    <w:rsid w:val="00DE65CF"/>
    <w:rsid w:val="00E12526"/>
    <w:rsid w:val="00E54183"/>
    <w:rsid w:val="00E9650D"/>
    <w:rsid w:val="00EB5084"/>
    <w:rsid w:val="00ED622F"/>
    <w:rsid w:val="00EE6CCD"/>
    <w:rsid w:val="00EF3D33"/>
    <w:rsid w:val="00F64CC1"/>
    <w:rsid w:val="00FA0BF5"/>
    <w:rsid w:val="00FB7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5260</Words>
  <Characters>28935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5</cp:revision>
  <cp:lastPrinted>2018-08-07T17:38:00Z</cp:lastPrinted>
  <dcterms:created xsi:type="dcterms:W3CDTF">2018-08-07T17:13:00Z</dcterms:created>
  <dcterms:modified xsi:type="dcterms:W3CDTF">2018-10-11T01:12:00Z</dcterms:modified>
</cp:coreProperties>
</file>